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депутата Думы  города Югорска  VII созыва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Баргилевича Олега Антоновича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2025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>
        <w:rPr>
          <w:rFonts w:ascii="Times New Roman" w:hAnsi="Times New Roman" w:cs="Times New Roman"/>
          <w:sz w:val="28"/>
          <w:szCs w:val="28"/>
        </w:rPr>
        <w:t xml:space="preserve">28.09</w:t>
      </w:r>
      <w:r>
        <w:rPr>
          <w:rFonts w:ascii="Times New Roman" w:hAnsi="Times New Roman" w:cs="Times New Roman"/>
          <w:sz w:val="28"/>
          <w:szCs w:val="28"/>
        </w:rPr>
        <w:t xml:space="preserve">.2021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Членство в комиссиях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комиссия по бюджету и налогам, по социальной политике,  по регламенту, нормотворчеству и депутатской этике, по экономической политике.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Партийная принадлежность:</w:t>
      </w:r>
      <w:r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Членство в депутатской фракции:</w:t>
      </w:r>
      <w:r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>
        <w:rPr>
          <w:rFonts w:ascii="Times New Roman" w:hAnsi="Times New Roman" w:cs="Times New Roman"/>
          <w:sz w:val="28"/>
          <w:szCs w:val="28"/>
        </w:rPr>
        <w:t xml:space="preserve">кую деятельность с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службы по связям с общественностью и средствами массовой информации ООО "Газпром трансгаз Югорск" ПАО Газпром.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февраля 2023 года назначен директором Благотворительного фонда «Возрождение.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занимается оказанием материальной помощи ветеранам войны и труда, детям войны, узникам блокадного Ленинграда, военно-патриотическим клубам и кадетским классам в регионе деятельности, мобилизованным на СВО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заместителем председателя общественной организации офицеров запаса «Взлет». Организация занимается оказанием материальной помощи мобилизованным детям офицеров и жителям г. Югорска.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  программы  Партии «Единая Россия» региональный сегмент - «Карта развития Юг</w:t>
      </w:r>
      <w:r>
        <w:rPr>
          <w:rFonts w:ascii="Times New Roman" w:hAnsi="Times New Roman" w:cs="Times New Roman"/>
          <w:sz w:val="28"/>
          <w:szCs w:val="28"/>
        </w:rPr>
        <w:t xml:space="preserve">ры».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ЗАКОНОДАТЕЛЬНАЯ РАБОТА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) Участие депутата в мероприятиях Думы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заседаний Думы города Югорска;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решений Думы города Югорска.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) Участие депутата в Парламентских часах: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</w:t>
      </w:r>
      <w:r>
        <w:rPr>
          <w:rFonts w:ascii="Times New Roman" w:hAnsi="Times New Roman" w:cs="Times New Roman"/>
          <w:sz w:val="28"/>
          <w:szCs w:val="28"/>
        </w:rPr>
        <w:t xml:space="preserve">орий об установленных гарантиях.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ПРОЕКТНАЯ ДЕЯТЕЛЬНОСТЬ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Всероссийская акция взаимопомощи #МыВместе </w:t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Оказание всесторонней помощи для членов семей военнослужащих, находящихся в зоне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ОБЩЕСТВЕННАЯ ДЕЯТЕЛЬНОСТЬ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Участие в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работке и продвижении совместного проекта ООО «Газпром трансгаз Югорск» и Правительства Ханты-Мансийского автономного округа  – Югры по получению первой рабочей профессии старшеклассниками с прогнозируемым низким средним баллом аттестата, который был призн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 соответствующим Национальным целям, а также поручению президента России Владимира Путина о расширении практики сотрудничества профессиональных колледжей с промышленными предприятиями, данному в рамках сентябрьского заседания президиума Госсовета страны.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</w:t>
      </w:r>
      <w:r>
        <w:rPr>
          <w:rFonts w:ascii="Times New Roman" w:hAnsi="Times New Roman" w:cs="Times New Roman"/>
          <w:sz w:val="28"/>
          <w:szCs w:val="28"/>
        </w:rPr>
        <w:t xml:space="preserve">частие в ежегодном послании Г</w:t>
      </w:r>
      <w:r>
        <w:rPr>
          <w:rFonts w:ascii="Times New Roman" w:hAnsi="Times New Roman" w:cs="Times New Roman"/>
          <w:sz w:val="28"/>
          <w:szCs w:val="28"/>
        </w:rPr>
        <w:t xml:space="preserve">убернатора Ханты-Мансийского автономного округа - Югры Р.Н. </w:t>
      </w:r>
      <w:r>
        <w:rPr>
          <w:rFonts w:ascii="Times New Roman" w:hAnsi="Times New Roman" w:cs="Times New Roman"/>
          <w:sz w:val="28"/>
          <w:szCs w:val="28"/>
        </w:rPr>
        <w:t xml:space="preserve">Кухарука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) Муниципальные мероприятия: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е</w:t>
      </w:r>
      <w:r>
        <w:rPr>
          <w:rFonts w:ascii="Times New Roman" w:hAnsi="Times New Roman" w:cs="Times New Roman"/>
          <w:sz w:val="28"/>
          <w:szCs w:val="28"/>
        </w:rPr>
        <w:t xml:space="preserve">жемесячный контроль за реализацией «Народной программы» - «Карты развития Югры»;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народном обсуждении за ходом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ремонта МБОУ СОШ № 5</w:t>
      </w:r>
      <w:r>
        <w:rPr>
          <w:rFonts w:ascii="Times New Roman" w:hAnsi="Times New Roman" w:cs="Times New Roman"/>
          <w:sz w:val="28"/>
          <w:szCs w:val="28"/>
        </w:rPr>
        <w:t xml:space="preserve"> в Югорске;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</w:t>
      </w:r>
      <w:r>
        <w:rPr>
          <w:rFonts w:ascii="Times New Roman" w:hAnsi="Times New Roman" w:cs="Times New Roman"/>
          <w:sz w:val="28"/>
          <w:szCs w:val="28"/>
        </w:rPr>
        <w:t xml:space="preserve">частие в партийном десанте  «Реализация проекта сквера «Северное Сияние»;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</w:t>
      </w:r>
      <w:r>
        <w:rPr>
          <w:rFonts w:ascii="Times New Roman" w:hAnsi="Times New Roman" w:cs="Times New Roman"/>
          <w:sz w:val="28"/>
          <w:szCs w:val="28"/>
        </w:rPr>
        <w:t xml:space="preserve">частие в народных обсуждениях по строительству  Аллеи воинской славы в память об участниках Специальной военной операции, погибших при исполнении воинского долга;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у</w:t>
      </w:r>
      <w:r>
        <w:rPr>
          <w:rFonts w:ascii="Times New Roman" w:hAnsi="Times New Roman" w:cs="Times New Roman"/>
          <w:sz w:val="28"/>
          <w:szCs w:val="28"/>
        </w:rPr>
        <w:t xml:space="preserve">частие в партийном десанте «Реконструкция взрослой поликлиники Югорской городской больницы»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в заседании Штаба общественного контроля за ходо</w:t>
      </w:r>
      <w:r>
        <w:rPr>
          <w:rFonts w:ascii="Times New Roman" w:hAnsi="Times New Roman" w:cs="Times New Roman"/>
          <w:sz w:val="28"/>
          <w:szCs w:val="28"/>
        </w:rPr>
        <w:t xml:space="preserve">м капитального ремонта школы № 5</w:t>
      </w:r>
      <w:r>
        <w:rPr>
          <w:rFonts w:ascii="Times New Roman" w:hAnsi="Times New Roman" w:cs="Times New Roman"/>
          <w:sz w:val="28"/>
          <w:szCs w:val="28"/>
        </w:rPr>
        <w:t xml:space="preserve"> города Югорска;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 участие в партийном десанте в парке  им. Д.И. Менделеева;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в партийном десанте </w:t>
      </w:r>
      <w:r>
        <w:rPr>
          <w:rFonts w:ascii="Times New Roman" w:hAnsi="Times New Roman" w:cs="Times New Roman"/>
          <w:sz w:val="28"/>
          <w:szCs w:val="28"/>
        </w:rPr>
        <w:t xml:space="preserve">по капитальному ремонту школы № 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в партийном десанте по строительству Югорского политехнического колледжа;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участие в народных обсуждениях «Строительство студенческого общежития БУ "Югорского политехн</w:t>
      </w:r>
      <w:r>
        <w:rPr>
          <w:rFonts w:ascii="Times New Roman" w:hAnsi="Times New Roman" w:cs="Times New Roman"/>
          <w:sz w:val="28"/>
          <w:szCs w:val="28"/>
        </w:rPr>
        <w:t xml:space="preserve">ического колледжа» на 250 мест»;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 у</w:t>
      </w:r>
      <w:r>
        <w:rPr>
          <w:rFonts w:ascii="Times New Roman" w:hAnsi="Times New Roman" w:cs="Times New Roman"/>
          <w:sz w:val="28"/>
          <w:szCs w:val="28"/>
        </w:rPr>
        <w:t xml:space="preserve">частие в Форуме муниципальных депутатов Партии 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участие в муниципальном Форуме Партии «Единая Россия» «Есть резу</w:t>
      </w:r>
      <w:r>
        <w:rPr>
          <w:rFonts w:ascii="Times New Roman" w:hAnsi="Times New Roman" w:cs="Times New Roman"/>
          <w:sz w:val="28"/>
          <w:szCs w:val="28"/>
        </w:rPr>
        <w:t xml:space="preserve">льтат!».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в Благотворительных акциях: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благотворительном концерте в поддержку фонда «Материнское сердце», бойцов СВО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Отчисление средств в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Благотворительный фонд «Возрождение»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r>
        <w:rPr>
          <w:rFonts w:ascii="Times New Roman" w:hAnsi="Times New Roman" w:cs="Times New Roman"/>
          <w:sz w:val="28"/>
          <w:szCs w:val="28"/>
        </w:rPr>
        <w:t xml:space="preserve">ZoV</w:t>
      </w:r>
      <w:r>
        <w:rPr>
          <w:rFonts w:ascii="Times New Roman" w:hAnsi="Times New Roman" w:cs="Times New Roman"/>
          <w:sz w:val="28"/>
          <w:szCs w:val="28"/>
        </w:rPr>
        <w:t xml:space="preserve"> Сердца Югорск/Советский», «Своих не бросаем. Югорск»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«Тепло для Героя»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</w:t>
      </w:r>
      <w:r>
        <w:rPr>
          <w:rFonts w:ascii="Times New Roman" w:hAnsi="Times New Roman" w:cs="Times New Roman"/>
          <w:sz w:val="28"/>
          <w:szCs w:val="28"/>
        </w:rPr>
        <w:t xml:space="preserve">«От всего сердца детям Макеевки»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>
        <w:rPr>
          <w:rFonts w:ascii="Times New Roman" w:hAnsi="Times New Roman" w:cs="Times New Roman"/>
          <w:sz w:val="28"/>
          <w:szCs w:val="28"/>
        </w:rPr>
        <w:t xml:space="preserve"> «Югра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Отправка гигиенических наборов для участников СВО (Белгородская область)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оддержка подразделений, ведущих борьбу с неонацистскими формированиями на территории Украины;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</w:t>
      </w:r>
      <w:r>
        <w:rPr>
          <w:rFonts w:ascii="Times New Roman" w:hAnsi="Times New Roman" w:cs="Times New Roman"/>
          <w:sz w:val="28"/>
          <w:szCs w:val="28"/>
        </w:rPr>
        <w:t xml:space="preserve">«Собери ребенка в школу»;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частие в благотворительных мероприятиях к Международному дню белой трости и Международному дню слепых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помощи в </w:t>
      </w:r>
      <w:r>
        <w:rPr>
          <w:rFonts w:ascii="Times New Roman" w:hAnsi="Times New Roman" w:cs="Times New Roman"/>
          <w:sz w:val="28"/>
          <w:szCs w:val="28"/>
        </w:rPr>
        <w:t xml:space="preserve"> рамках Декады инвалидов, приуроченной к Международному дню инвалидов;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Елка желаний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«Свеча памяти»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благотворительном концерте «Под небом голубым…»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РАБОТА С НАСЕЛЕНИЕМ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) Исполнение наказов избирателей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ограждения сквера «Северное сияние». По улице Гастелло (между домами 15 и 10 установленна  велопарковка).</w:t>
      </w:r>
      <w:r>
        <w:rPr>
          <w:rFonts w:ascii="Times New Roman" w:hAnsi="Times New Roman" w:cs="Times New Roman"/>
          <w:sz w:val="28"/>
          <w:szCs w:val="28"/>
        </w:rPr>
        <w:t xml:space="preserve"> Выполнен капитальный ремонт участка дороги (въезд в город Югорск-2 перед болотом), заасфальтирована территория, прилегающая к школе микрорайона.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) Приемы граждан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поступали к депутату на личных приемах в общественной приемной партии «Единая Россия».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МЕДИАКТИВНОСТЬ.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Медиацентра,  в пабликах «Наш Югорск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«Югорский Медиацентр», «Дума города Югорска»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«Общественная приемная Партии города Югорск</w:t>
      </w:r>
      <w:r>
        <w:rPr>
          <w:rFonts w:ascii="Times New Roman" w:hAnsi="Times New Roman" w:cs="Times New Roman"/>
          <w:sz w:val="28"/>
          <w:szCs w:val="28"/>
        </w:rPr>
        <w:t xml:space="preserve">», «Молодежная палата Югорска»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https://vk.com/id439169325" w:history="1"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https://vk.com/id439169325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</w:t>
      </w:r>
      <w:r>
        <w:rPr>
          <w:rFonts w:ascii="Times New Roman" w:hAnsi="Times New Roman" w:cs="Times New Roman"/>
          <w:sz w:val="28"/>
          <w:szCs w:val="28"/>
        </w:rPr>
        <w:t xml:space="preserve">854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/>
      <w:hyperlink r:id="rId10" w:tooltip="https://ok.ru/profile/577355335311" w:history="1"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https://ok.ru/profile/577355335311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- 3</w:t>
      </w:r>
      <w:r>
        <w:rPr>
          <w:rFonts w:ascii="Times New Roman" w:hAnsi="Times New Roman" w:cs="Times New Roman"/>
          <w:sz w:val="28"/>
          <w:szCs w:val="28"/>
        </w:rPr>
        <w:t xml:space="preserve">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Общее количество подписчиков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uiPriority w:val="1"/>
    <w:qFormat/>
    <w:pPr>
      <w:spacing w:after="0" w:line="240" w:lineRule="auto"/>
    </w:p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character" w:styleId="839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40">
    <w:name w:val="Balloon Text"/>
    <w:basedOn w:val="833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4"/>
    <w:link w:val="840"/>
    <w:uiPriority w:val="99"/>
    <w:semiHidden/>
    <w:rPr>
      <w:rFonts w:ascii="Tahoma" w:hAnsi="Tahoma" w:cs="Tahoma"/>
      <w:sz w:val="16"/>
      <w:szCs w:val="16"/>
    </w:rPr>
  </w:style>
  <w:style w:type="character" w:styleId="842">
    <w:name w:val="FollowedHyperlink"/>
    <w:basedOn w:val="834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id439169325" TargetMode="External"/><Relationship Id="rId10" Type="http://schemas.openxmlformats.org/officeDocument/2006/relationships/hyperlink" Target="https://ok.ru/profile/5773553353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oa.bargilevich</cp:lastModifiedBy>
  <cp:revision>4</cp:revision>
  <dcterms:created xsi:type="dcterms:W3CDTF">2026-03-24T11:34:00Z</dcterms:created>
  <dcterms:modified xsi:type="dcterms:W3CDTF">2026-04-07T03:44:40Z</dcterms:modified>
</cp:coreProperties>
</file>