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FC" w:rsidRDefault="001D1CFC" w:rsidP="001D1CFC">
      <w:pPr>
        <w:jc w:val="center"/>
      </w:pPr>
      <w:bookmarkStart w:id="0" w:name="sub_37736628"/>
      <w:r>
        <w:rPr>
          <w:noProof/>
          <w:lang w:eastAsia="ru-RU"/>
        </w:rPr>
        <w:drawing>
          <wp:inline distT="0" distB="0" distL="0" distR="0" wp14:anchorId="2EFABA0C" wp14:editId="63C032CD">
            <wp:extent cx="581025" cy="723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FC" w:rsidRDefault="001D1CFC" w:rsidP="001D1CFC">
      <w:pPr>
        <w:jc w:val="center"/>
      </w:pPr>
    </w:p>
    <w:p w:rsidR="001D1CFC" w:rsidRPr="001D1CFC" w:rsidRDefault="001D1CFC" w:rsidP="001D1CFC">
      <w:pPr>
        <w:jc w:val="center"/>
        <w:rPr>
          <w:rFonts w:ascii="Times New Roman" w:hAnsi="Times New Roman"/>
          <w:spacing w:val="20"/>
          <w:sz w:val="32"/>
          <w:szCs w:val="32"/>
        </w:rPr>
      </w:pPr>
      <w:r w:rsidRPr="001D1CFC">
        <w:rPr>
          <w:rFonts w:ascii="Times New Roman" w:hAnsi="Times New Roman"/>
          <w:spacing w:val="20"/>
          <w:sz w:val="32"/>
          <w:szCs w:val="32"/>
        </w:rPr>
        <w:t>ДУМА ГОРОДА ЮГОРСКА</w:t>
      </w:r>
    </w:p>
    <w:p w:rsidR="001D1CFC" w:rsidRPr="001D1CFC" w:rsidRDefault="001D1CFC" w:rsidP="001D1CFC">
      <w:pPr>
        <w:jc w:val="center"/>
        <w:rPr>
          <w:rFonts w:ascii="Times New Roman" w:hAnsi="Times New Roman"/>
          <w:sz w:val="28"/>
          <w:szCs w:val="28"/>
        </w:rPr>
      </w:pPr>
      <w:r w:rsidRPr="001D1CFC">
        <w:rPr>
          <w:rFonts w:ascii="Times New Roman" w:hAnsi="Times New Roman"/>
          <w:sz w:val="28"/>
          <w:szCs w:val="28"/>
        </w:rPr>
        <w:t>Ханты-Мансийского  автономного округа – Югры</w:t>
      </w:r>
    </w:p>
    <w:p w:rsidR="001D1CFC" w:rsidRPr="001D1CFC" w:rsidRDefault="001D1CFC" w:rsidP="001D1CFC">
      <w:pPr>
        <w:jc w:val="center"/>
        <w:rPr>
          <w:rFonts w:ascii="Times New Roman" w:hAnsi="Times New Roman"/>
          <w:sz w:val="28"/>
          <w:szCs w:val="28"/>
        </w:rPr>
      </w:pPr>
    </w:p>
    <w:p w:rsidR="001D1CFC" w:rsidRDefault="001D1CFC" w:rsidP="001D1CFC">
      <w:pPr>
        <w:pStyle w:val="6"/>
        <w:spacing w:before="0" w:after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        РЕШЕНИЕ</w:t>
      </w:r>
    </w:p>
    <w:p w:rsidR="001D1CFC" w:rsidRPr="001D1CFC" w:rsidRDefault="001D1CFC" w:rsidP="001D1CFC">
      <w:pPr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1D1CFC" w:rsidRPr="001D1CFC" w:rsidRDefault="001D1CFC" w:rsidP="001D1CFC">
      <w:pPr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1D1CFC" w:rsidRPr="001D1CFC" w:rsidRDefault="001D1CFC" w:rsidP="001D1CF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D1CFC">
        <w:rPr>
          <w:rFonts w:ascii="Times New Roman" w:hAnsi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25 октября 2016 года</w:t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</w:r>
      <w:r w:rsidRPr="001D1CFC">
        <w:rPr>
          <w:rFonts w:ascii="Times New Roman" w:hAnsi="Times New Roman"/>
          <w:b/>
          <w:bCs/>
          <w:sz w:val="24"/>
          <w:szCs w:val="24"/>
        </w:rPr>
        <w:tab/>
        <w:t xml:space="preserve">              №</w:t>
      </w:r>
      <w:r>
        <w:rPr>
          <w:rFonts w:ascii="Times New Roman" w:hAnsi="Times New Roman"/>
          <w:b/>
          <w:bCs/>
          <w:sz w:val="24"/>
          <w:szCs w:val="24"/>
        </w:rPr>
        <w:t xml:space="preserve"> 94</w:t>
      </w:r>
    </w:p>
    <w:p w:rsidR="001D1CFC" w:rsidRDefault="001D1CFC" w:rsidP="001D1CFC">
      <w:pPr>
        <w:rPr>
          <w:kern w:val="1"/>
        </w:rPr>
      </w:pPr>
    </w:p>
    <w:p w:rsidR="001D1CFC" w:rsidRDefault="001D1CFC" w:rsidP="001D1CFC">
      <w:pPr>
        <w:rPr>
          <w:kern w:val="1"/>
        </w:rPr>
      </w:pPr>
    </w:p>
    <w:p w:rsidR="001D1CFC" w:rsidRDefault="001D1CFC" w:rsidP="001D1CFC">
      <w:pPr>
        <w:pStyle w:val="a5"/>
        <w:tabs>
          <w:tab w:val="left" w:pos="0"/>
        </w:tabs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занятости несовершеннолетних, находящихся </w:t>
      </w:r>
    </w:p>
    <w:p w:rsidR="001D1CFC" w:rsidRDefault="001D1CFC" w:rsidP="001D1CFC">
      <w:pPr>
        <w:pStyle w:val="a5"/>
        <w:tabs>
          <w:tab w:val="left" w:pos="0"/>
        </w:tabs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социально опасном положении в 2016 году</w:t>
      </w:r>
    </w:p>
    <w:p w:rsidR="001D1CFC" w:rsidRPr="00946925" w:rsidRDefault="001D1CFC" w:rsidP="001D1CFC">
      <w:pPr>
        <w:pStyle w:val="a5"/>
        <w:spacing w:before="0" w:after="0"/>
        <w:ind w:left="851" w:right="425"/>
        <w:jc w:val="both"/>
        <w:rPr>
          <w:rFonts w:ascii="Times New Roman" w:hAnsi="Times New Roman"/>
          <w:sz w:val="24"/>
          <w:szCs w:val="24"/>
        </w:rPr>
      </w:pPr>
    </w:p>
    <w:p w:rsidR="001D1CFC" w:rsidRDefault="001D1CFC" w:rsidP="001D1CFC">
      <w:pPr>
        <w:pStyle w:val="a6"/>
        <w:spacing w:after="0"/>
        <w:rPr>
          <w:b/>
        </w:rPr>
      </w:pPr>
    </w:p>
    <w:p w:rsidR="001D1CFC" w:rsidRPr="001D1CFC" w:rsidRDefault="001D1CFC" w:rsidP="001D1CFC">
      <w:pPr>
        <w:pStyle w:val="a6"/>
        <w:spacing w:after="0"/>
        <w:ind w:firstLine="709"/>
        <w:jc w:val="both"/>
      </w:pPr>
      <w:r w:rsidRPr="001D1CFC">
        <w:t>Рассмотрев информацию Территориальной комиссии по делам несовершеннолетних и защите их прав при администрации города Югорска,</w:t>
      </w:r>
    </w:p>
    <w:p w:rsidR="001D1CFC" w:rsidRDefault="001D1CFC" w:rsidP="001D1CFC">
      <w:pPr>
        <w:ind w:firstLine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D1CFC" w:rsidRDefault="001D1CFC" w:rsidP="001D1CFC">
      <w:pPr>
        <w:ind w:firstLine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D1CFC" w:rsidRPr="001D1CFC" w:rsidRDefault="001D1CFC" w:rsidP="001D1CF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D1CFC">
        <w:rPr>
          <w:rFonts w:ascii="Times New Roman" w:hAnsi="Times New Roman"/>
          <w:b/>
          <w:bCs/>
          <w:sz w:val="24"/>
          <w:szCs w:val="24"/>
        </w:rPr>
        <w:t>ДУМА ГОРОДА ЮГОРСКА РЕШИЛА:</w:t>
      </w: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/>
        <w:jc w:val="both"/>
        <w:rPr>
          <w:b/>
          <w:bCs/>
          <w:sz w:val="24"/>
          <w:szCs w:val="24"/>
        </w:rPr>
      </w:pP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/>
          <w:bCs/>
          <w:sz w:val="24"/>
          <w:szCs w:val="24"/>
        </w:rPr>
      </w:pP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D1CFC">
        <w:rPr>
          <w:bCs/>
          <w:sz w:val="24"/>
          <w:szCs w:val="24"/>
        </w:rPr>
        <w:t>Принять к сведению информацию о занятости несовершеннолетних, находящихся в социально опасном положении в 2016 году (приложение).</w:t>
      </w: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Настоящее решение вступает в силу после его подписания.</w:t>
      </w: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</w:p>
    <w:p w:rsidR="001D1CFC" w:rsidRDefault="001D1CFC" w:rsidP="001D1CFC">
      <w:pPr>
        <w:pStyle w:val="31"/>
        <w:tabs>
          <w:tab w:val="left" w:pos="7230"/>
        </w:tabs>
        <w:spacing w:after="0"/>
        <w:ind w:left="0" w:right="-62" w:firstLine="709"/>
        <w:jc w:val="both"/>
        <w:rPr>
          <w:bCs/>
          <w:sz w:val="24"/>
          <w:szCs w:val="24"/>
        </w:rPr>
      </w:pPr>
    </w:p>
    <w:p w:rsidR="001D1CFC" w:rsidRPr="001D1CFC" w:rsidRDefault="001D1CFC" w:rsidP="001D1CFC">
      <w:pPr>
        <w:pStyle w:val="31"/>
        <w:tabs>
          <w:tab w:val="left" w:pos="7230"/>
        </w:tabs>
        <w:spacing w:after="0"/>
        <w:ind w:left="0" w:right="-62"/>
        <w:jc w:val="both"/>
        <w:rPr>
          <w:b/>
          <w:bCs/>
          <w:sz w:val="24"/>
          <w:szCs w:val="24"/>
        </w:rPr>
      </w:pPr>
      <w:r w:rsidRPr="001D1CFC">
        <w:rPr>
          <w:b/>
          <w:bCs/>
          <w:sz w:val="24"/>
          <w:szCs w:val="24"/>
        </w:rPr>
        <w:t>Председатель Думы города Югорска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В.А. Климин</w:t>
      </w:r>
    </w:p>
    <w:p w:rsidR="001D1CFC" w:rsidRPr="001D1CFC" w:rsidRDefault="001D1CFC" w:rsidP="001D1CFC">
      <w:pPr>
        <w:pStyle w:val="31"/>
        <w:tabs>
          <w:tab w:val="left" w:pos="7230"/>
        </w:tabs>
        <w:spacing w:after="0"/>
        <w:ind w:right="-62"/>
        <w:jc w:val="both"/>
        <w:rPr>
          <w:b/>
          <w:bCs/>
          <w:sz w:val="24"/>
          <w:szCs w:val="24"/>
        </w:rPr>
      </w:pPr>
    </w:p>
    <w:p w:rsidR="00121376" w:rsidRDefault="00121376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CFC" w:rsidRPr="001D1CFC" w:rsidRDefault="001D1CFC" w:rsidP="00121376">
      <w:pPr>
        <w:ind w:firstLine="0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D1CFC" w:rsidRPr="001D1CFC" w:rsidRDefault="001D1CFC" w:rsidP="001D1CFC">
      <w:pPr>
        <w:ind w:firstLine="0"/>
        <w:jc w:val="left"/>
        <w:rPr>
          <w:rFonts w:ascii="Times New Roman" w:eastAsia="Times New Roman" w:hAnsi="Times New Roman"/>
          <w:b/>
          <w:u w:val="single"/>
          <w:lang w:eastAsia="ru-RU"/>
        </w:rPr>
      </w:pPr>
      <w:r w:rsidRPr="001D1CFC">
        <w:rPr>
          <w:rFonts w:ascii="Times New Roman" w:eastAsia="Times New Roman" w:hAnsi="Times New Roman"/>
          <w:b/>
          <w:u w:val="single"/>
          <w:lang w:eastAsia="ru-RU"/>
        </w:rPr>
        <w:t>«25» октября 2016 года</w:t>
      </w:r>
    </w:p>
    <w:p w:rsidR="001D1CFC" w:rsidRPr="001D1CFC" w:rsidRDefault="001D1CFC" w:rsidP="001D1CFC">
      <w:pPr>
        <w:ind w:firstLine="0"/>
        <w:jc w:val="left"/>
        <w:rPr>
          <w:rFonts w:ascii="Times New Roman" w:eastAsia="Times New Roman" w:hAnsi="Times New Roman"/>
          <w:b/>
          <w:lang w:eastAsia="ru-RU"/>
        </w:rPr>
      </w:pPr>
      <w:r w:rsidRPr="001D1CFC">
        <w:rPr>
          <w:rFonts w:ascii="Times New Roman" w:eastAsia="Times New Roman" w:hAnsi="Times New Roman"/>
          <w:b/>
          <w:lang w:eastAsia="ru-RU"/>
        </w:rPr>
        <w:t>(дата подписания)</w:t>
      </w:r>
    </w:p>
    <w:bookmarkEnd w:id="0"/>
    <w:p w:rsidR="00121376" w:rsidRDefault="00121376" w:rsidP="00121376">
      <w:pPr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:rsidR="00121376" w:rsidRDefault="00BC18FE" w:rsidP="00121376">
      <w:pPr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121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решению Думы города Югорска</w:t>
      </w:r>
    </w:p>
    <w:p w:rsidR="00121376" w:rsidRDefault="00121376" w:rsidP="00121376">
      <w:pPr>
        <w:spacing w:line="360" w:lineRule="auto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1D1CFC">
        <w:rPr>
          <w:rFonts w:ascii="Times New Roman" w:eastAsia="Times New Roman" w:hAnsi="Times New Roman"/>
          <w:b/>
          <w:sz w:val="24"/>
          <w:szCs w:val="24"/>
          <w:lang w:eastAsia="ru-RU"/>
        </w:rPr>
        <w:t>25 октября 2016 года № 94</w:t>
      </w:r>
    </w:p>
    <w:p w:rsidR="001D1CFC" w:rsidRDefault="001D1CFC" w:rsidP="00121376">
      <w:pPr>
        <w:spacing w:line="360" w:lineRule="auto"/>
        <w:ind w:firstLine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1376" w:rsidRDefault="00121376" w:rsidP="00121376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О занятости несовершеннолетних,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находящихся в социально опасном положении</w:t>
      </w:r>
      <w:r w:rsidR="00FB24A4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90A21" w:rsidRPr="00D606F1" w:rsidRDefault="00121376" w:rsidP="00121376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в 2016 году</w:t>
      </w:r>
    </w:p>
    <w:p w:rsidR="00DA76E1" w:rsidRPr="00DA76E1" w:rsidRDefault="00DA76E1" w:rsidP="00DA76E1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sz w:val="24"/>
          <w:szCs w:val="24"/>
          <w:lang w:eastAsia="ru-RU"/>
        </w:rPr>
        <w:t>В городе Югорске на 01.01.201</w:t>
      </w:r>
      <w:r w:rsidR="0037344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A76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постоянного проживает </w:t>
      </w:r>
      <w:r w:rsidR="00373449">
        <w:rPr>
          <w:rFonts w:ascii="Times New Roman" w:eastAsia="Times New Roman" w:hAnsi="Times New Roman"/>
          <w:sz w:val="24"/>
          <w:szCs w:val="24"/>
          <w:lang w:eastAsia="ru-RU"/>
        </w:rPr>
        <w:t>9417</w:t>
      </w:r>
      <w:r w:rsidRPr="00DA76E1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данный показатель имеет положительную динамику роста:</w:t>
      </w:r>
    </w:p>
    <w:p w:rsidR="00DA76E1" w:rsidRPr="00DA76E1" w:rsidRDefault="00DA76E1" w:rsidP="00DA76E1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95F964" wp14:editId="568D3A88">
            <wp:extent cx="6038850" cy="2924175"/>
            <wp:effectExtent l="0" t="0" r="19050" b="0"/>
            <wp:docPr id="4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76E1" w:rsidRPr="00DA76E1" w:rsidRDefault="00274404" w:rsidP="00DA76E1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121376">
        <w:rPr>
          <w:rFonts w:ascii="Times New Roman" w:eastAsia="Times New Roman" w:hAnsi="Times New Roman"/>
          <w:sz w:val="24"/>
          <w:szCs w:val="24"/>
          <w:lang w:eastAsia="ru-RU"/>
        </w:rPr>
        <w:t>ерриториальной комиссией по делам несовершеннолетних и защите их прав при администрации города Югорска (далее - Комиссия) ведется единый банк данных семей</w:t>
      </w:r>
      <w:r w:rsidR="00DA76E1" w:rsidRPr="00DA76E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21376" w:rsidRPr="00DA76E1">
        <w:rPr>
          <w:rFonts w:ascii="Times New Roman" w:eastAsia="Times New Roman" w:hAnsi="Times New Roman"/>
          <w:sz w:val="24"/>
          <w:szCs w:val="24"/>
          <w:lang w:eastAsia="ru-RU"/>
        </w:rPr>
        <w:t>находящих</w:t>
      </w:r>
      <w:r w:rsidR="0012137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21376" w:rsidRPr="00DA7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A76E1" w:rsidRPr="00DA76E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социально опасном положении:</w:t>
      </w:r>
    </w:p>
    <w:p w:rsidR="00DA76E1" w:rsidRPr="00DA76E1" w:rsidRDefault="00DA76E1" w:rsidP="00460118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3D7" w:rsidRDefault="00930094" w:rsidP="00930094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327DE9A" wp14:editId="2B936974">
            <wp:extent cx="5953125" cy="3714750"/>
            <wp:effectExtent l="0" t="0" r="0" b="0"/>
            <wp:docPr id="5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0094" w:rsidRDefault="00930094" w:rsidP="004053D7">
      <w:pPr>
        <w:ind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30094" w:rsidRDefault="00930094" w:rsidP="004053D7">
      <w:pPr>
        <w:ind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B24A4" w:rsidRPr="00930094" w:rsidRDefault="00FB24A4" w:rsidP="004053D7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094">
        <w:rPr>
          <w:rFonts w:ascii="Times New Roman" w:eastAsia="Times New Roman" w:hAnsi="Times New Roman"/>
          <w:sz w:val="24"/>
          <w:szCs w:val="24"/>
          <w:lang w:eastAsia="ru-RU"/>
        </w:rPr>
        <w:t>Категория несовершеннолетних</w:t>
      </w:r>
      <w:r w:rsidR="00DA76E1" w:rsidRPr="00930094">
        <w:rPr>
          <w:rFonts w:ascii="Times New Roman" w:eastAsia="Times New Roman" w:hAnsi="Times New Roman"/>
          <w:sz w:val="24"/>
          <w:szCs w:val="24"/>
          <w:lang w:eastAsia="ru-RU"/>
        </w:rPr>
        <w:t>, находящи</w:t>
      </w:r>
      <w:r w:rsidRPr="00930094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DA76E1" w:rsidRPr="00930094">
        <w:rPr>
          <w:rFonts w:ascii="Times New Roman" w:eastAsia="Times New Roman" w:hAnsi="Times New Roman"/>
          <w:sz w:val="24"/>
          <w:szCs w:val="24"/>
          <w:lang w:eastAsia="ru-RU"/>
        </w:rPr>
        <w:t>ся в социально опасном положении</w:t>
      </w:r>
      <w:r w:rsidRPr="00930094">
        <w:rPr>
          <w:rFonts w:ascii="Times New Roman" w:eastAsia="Times New Roman" w:hAnsi="Times New Roman"/>
          <w:sz w:val="24"/>
          <w:szCs w:val="24"/>
          <w:lang w:eastAsia="ru-RU"/>
        </w:rPr>
        <w:t>, всего 35 детей</w:t>
      </w:r>
      <w:r w:rsidR="00930094">
        <w:rPr>
          <w:rFonts w:ascii="Times New Roman" w:eastAsia="Times New Roman" w:hAnsi="Times New Roman"/>
          <w:sz w:val="24"/>
          <w:szCs w:val="24"/>
          <w:lang w:eastAsia="ru-RU"/>
        </w:rPr>
        <w:t xml:space="preserve"> (на 01.09.2016)</w:t>
      </w:r>
      <w:r w:rsidRPr="0093009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60118" w:rsidRDefault="00DA76E1" w:rsidP="004053D7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ECBE6F" wp14:editId="66524CE3">
            <wp:extent cx="6029325" cy="2990850"/>
            <wp:effectExtent l="0" t="0" r="0" b="0"/>
            <wp:docPr id="6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76E1" w:rsidRDefault="00DA76E1" w:rsidP="001D09BE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sz w:val="24"/>
          <w:szCs w:val="24"/>
          <w:lang w:eastAsia="ru-RU"/>
        </w:rPr>
        <w:t>Состояние подростковой преступности в городе Югорске:</w:t>
      </w:r>
    </w:p>
    <w:p w:rsidR="00DA76E1" w:rsidRPr="00DA76E1" w:rsidRDefault="00DA76E1" w:rsidP="00460118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8726E7" wp14:editId="67EC641A">
            <wp:extent cx="5772150" cy="3733800"/>
            <wp:effectExtent l="0" t="0" r="0" b="0"/>
            <wp:docPr id="7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76E1" w:rsidRDefault="00DA76E1" w:rsidP="00DA76E1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6E1" w:rsidRPr="00DA76E1" w:rsidRDefault="00DA76E1" w:rsidP="00DA76E1">
      <w:pPr>
        <w:suppressAutoHyphens/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sz w:val="24"/>
          <w:szCs w:val="24"/>
          <w:lang w:eastAsia="ru-RU"/>
        </w:rPr>
        <w:t>Количество рассмотрения дел о правонарушениях несовершеннолетних, родителей, иных граждан на заседании Комиссии:</w:t>
      </w:r>
    </w:p>
    <w:p w:rsidR="00DA76E1" w:rsidRPr="00DA76E1" w:rsidRDefault="00DA76E1" w:rsidP="00DA76E1">
      <w:pPr>
        <w:suppressAutoHyphens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25D640" wp14:editId="3D9951A2">
            <wp:extent cx="5520055" cy="1828800"/>
            <wp:effectExtent l="0" t="0" r="0" b="0"/>
            <wp:docPr id="8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1B12" w:rsidRPr="00D606F1" w:rsidRDefault="00C21B12" w:rsidP="00990A21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31B47" w:rsidRPr="00D606F1">
        <w:rPr>
          <w:rFonts w:ascii="Times New Roman" w:eastAsia="Times New Roman" w:hAnsi="Times New Roman"/>
          <w:sz w:val="24"/>
          <w:szCs w:val="24"/>
          <w:lang w:eastAsia="ru-RU"/>
        </w:rPr>
        <w:t>01.09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606F1" w:rsidRPr="00D606F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учете в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</w:t>
      </w:r>
      <w:r w:rsidR="00D31B47" w:rsidRPr="00D606F1">
        <w:rPr>
          <w:rFonts w:ascii="Times New Roman" w:eastAsia="Times New Roman" w:hAnsi="Times New Roman"/>
          <w:sz w:val="24"/>
          <w:szCs w:val="24"/>
          <w:lang w:eastAsia="ru-RU"/>
        </w:rPr>
        <w:t>яли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6F1" w:rsidRPr="00D606F1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B92087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9BE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 и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6F1" w:rsidRPr="00D606F1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2087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находящихся в социально опасном положении 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(в них </w:t>
      </w:r>
      <w:r w:rsidR="00DB5668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="00B92087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788F" w:rsidRPr="00D606F1" w:rsidRDefault="00990A21" w:rsidP="00990A21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профилактики безнадзорности и правонарушений несовершеннолетних в городе Югорске в летний период </w:t>
      </w:r>
      <w:r w:rsidR="00050EDF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традиционно </w:t>
      </w:r>
      <w:r w:rsidR="00D31B47" w:rsidRPr="00D606F1">
        <w:rPr>
          <w:rFonts w:ascii="Times New Roman" w:eastAsia="Times New Roman" w:hAnsi="Times New Roman"/>
          <w:sz w:val="24"/>
          <w:szCs w:val="24"/>
          <w:lang w:eastAsia="ru-RU"/>
        </w:rPr>
        <w:t>проведена</w:t>
      </w:r>
      <w:r w:rsidR="006E788F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ежегодная 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межведомственная операция 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«Подросток». С целью ее проведения и организации летнего отдыха и занятости детей и подростков, состоящих на уч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ете в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="001D09B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E788F" w:rsidRPr="00D606F1" w:rsidRDefault="00D606F1" w:rsidP="00990A21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D0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90A21" w:rsidRPr="00D606F1">
        <w:rPr>
          <w:rFonts w:ascii="Times New Roman" w:eastAsia="Times New Roman" w:hAnsi="Times New Roman"/>
          <w:sz w:val="24"/>
          <w:szCs w:val="24"/>
          <w:lang w:eastAsia="ru-RU"/>
        </w:rPr>
        <w:t>одготовлено постановление Комиссии о проведении операции «Подросток» (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от 17.05.2016 № 11</w:t>
      </w:r>
      <w:r w:rsidR="00F5317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E788F" w:rsidRPr="00D606F1" w:rsidRDefault="00D606F1" w:rsidP="00990A21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С</w:t>
      </w:r>
      <w:r w:rsidR="00990A21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овместно с </w:t>
      </w:r>
      <w:r w:rsidR="001D09BE">
        <w:rPr>
          <w:rFonts w:ascii="Times New Roman" w:eastAsia="Times New Roman" w:hAnsi="Times New Roman"/>
          <w:sz w:val="24"/>
          <w:szCs w:val="24"/>
          <w:lang w:eastAsia="ru-RU"/>
        </w:rPr>
        <w:t xml:space="preserve">ОДН </w:t>
      </w:r>
      <w:r w:rsidR="00990A21" w:rsidRPr="00D606F1">
        <w:rPr>
          <w:rFonts w:ascii="Times New Roman" w:eastAsia="Times New Roman" w:hAnsi="Times New Roman"/>
          <w:sz w:val="24"/>
          <w:szCs w:val="24"/>
          <w:lang w:eastAsia="ru-RU"/>
        </w:rPr>
        <w:t>ОВД</w:t>
      </w:r>
      <w:r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="00990A21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г. Югорску разработаны мероприятия проведения операции,</w:t>
      </w:r>
      <w:r w:rsidR="00050EDF" w:rsidRPr="00D606F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</w:t>
      </w:r>
      <w:r w:rsidR="00F53171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график рейдовых мероприятий.</w:t>
      </w:r>
    </w:p>
    <w:p w:rsidR="00D606F1" w:rsidRPr="00D606F1" w:rsidRDefault="00D606F1" w:rsidP="00D606F1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Н</w:t>
      </w: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а базе образовательных </w:t>
      </w:r>
      <w:r w:rsidR="001D09BE">
        <w:rPr>
          <w:rFonts w:ascii="Times New Roman" w:eastAsia="Times New Roman" w:hAnsi="Times New Roman"/>
          <w:sz w:val="24"/>
          <w:szCs w:val="24"/>
          <w:lang w:eastAsia="ar-SA"/>
        </w:rPr>
        <w:t>организаций</w:t>
      </w: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проведено анкетирование несовершеннолетних</w:t>
      </w:r>
      <w:r w:rsidR="0027440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состоящих на учете, с целью изучения  предварительных планов по занятости в период летних каникул, проведена работа по информированию родителей и несовершеннолетних о различных формах занятости в летний период, а именно:</w:t>
      </w:r>
    </w:p>
    <w:p w:rsidR="00D606F1" w:rsidRPr="00D606F1" w:rsidRDefault="00D606F1" w:rsidP="00D606F1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>- подросткам в возрасте от 14 до 18 лет направлены именные направлени</w:t>
      </w:r>
      <w:r w:rsidR="001D09B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r w:rsidR="001D09BE">
        <w:rPr>
          <w:rFonts w:ascii="Times New Roman" w:eastAsia="Times New Roman" w:hAnsi="Times New Roman"/>
          <w:sz w:val="24"/>
          <w:szCs w:val="24"/>
          <w:lang w:eastAsia="ar-SA"/>
        </w:rPr>
        <w:t>Молодежный центр</w:t>
      </w: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 «Гелиос» для возможного трудоустройства и получению услуг по профориентации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BE6F9F" w:rsidRDefault="00D606F1" w:rsidP="00D606F1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D606F1">
        <w:rPr>
          <w:rFonts w:ascii="Times New Roman" w:eastAsia="Times New Roman" w:hAnsi="Times New Roman"/>
          <w:sz w:val="24"/>
          <w:szCs w:val="24"/>
          <w:lang w:eastAsia="ar-SA"/>
        </w:rPr>
        <w:t xml:space="preserve">- семьям, находящимся в СОП и ТЖС направлены информационные буклеты об организации летнего оздоровительного отдыха, как на территории Югорска, так и за его </w:t>
      </w:r>
      <w:r w:rsidR="00FE1562">
        <w:rPr>
          <w:rFonts w:ascii="Times New Roman" w:eastAsia="Times New Roman" w:hAnsi="Times New Roman"/>
          <w:sz w:val="24"/>
          <w:szCs w:val="24"/>
          <w:lang w:eastAsia="ar-SA"/>
        </w:rPr>
        <w:t>пределами.</w:t>
      </w:r>
    </w:p>
    <w:p w:rsidR="00BE6F9F" w:rsidRDefault="00BE6F9F" w:rsidP="00BE6F9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Организован ежемесячный Мониторинг летней и каникулярной занятости подростков и семей, находящихся в социа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льно опасном положении, по результатам которого обеспечена 100% занятость несовершеннолетних, находящихся в </w:t>
      </w:r>
      <w:r w:rsidR="00270D85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опасном положении</w:t>
      </w: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30B9D" w:rsidRDefault="00030B9D" w:rsidP="00BE6F9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D31B47" w:rsidRDefault="00D31B47" w:rsidP="00C21B1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D87B98" wp14:editId="0E0A5502">
            <wp:extent cx="4800600" cy="2438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0D85" w:rsidRPr="00DB5668" w:rsidRDefault="00270D85" w:rsidP="00C21B1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668" w:rsidRPr="00DB5668" w:rsidRDefault="008A3C93" w:rsidP="00D03EC5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6BD8A9" wp14:editId="6D63A84E">
            <wp:extent cx="4800600" cy="23431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A3C93" w:rsidRPr="00DB5668" w:rsidRDefault="008A3C93" w:rsidP="00D03EC5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3C9B2B" wp14:editId="67198A93">
            <wp:extent cx="4800600" cy="26955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0B9D" w:rsidRDefault="00030B9D" w:rsidP="0008797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97F" w:rsidRDefault="001658FF" w:rsidP="0008797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летний период 2016 года были организованы следую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>щие специальные формы занятости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находящихся в социально опасном положении:</w:t>
      </w:r>
    </w:p>
    <w:p w:rsidR="0008797F" w:rsidRDefault="0008797F" w:rsidP="0008797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счет средств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города Югорска</w:t>
      </w: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приобретено 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специальных </w:t>
      </w: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путевок в детский оздоровительный лагерь «Окуневские зори» 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Советский район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на 2 смену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97F" w:rsidRDefault="00274404" w:rsidP="0008797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запросу городской межведомственной комиссии по летнему отдыху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епартаментом социальной политики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 – Мансийского 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автономного округа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– Югры 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выделено </w:t>
      </w:r>
      <w:r w:rsid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11 </w:t>
      </w:r>
      <w:r w:rsidR="00C93B3D"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специальных 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>путевок</w:t>
      </w:r>
      <w:r w:rsidR="0008797F" w:rsidRPr="001D09BE">
        <w:t xml:space="preserve"> </w:t>
      </w:r>
      <w:r w:rsidR="0008797F" w:rsidRPr="001D09BE">
        <w:rPr>
          <w:rFonts w:ascii="Times New Roman" w:eastAsia="Times New Roman" w:hAnsi="Times New Roman"/>
          <w:sz w:val="24"/>
          <w:szCs w:val="24"/>
          <w:lang w:eastAsia="ru-RU"/>
        </w:rPr>
        <w:t xml:space="preserve">в детский оздоровительный лагерь «Окуневские зори»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8797F" w:rsidRPr="001D09BE">
        <w:rPr>
          <w:rFonts w:ascii="Times New Roman" w:eastAsia="Times New Roman" w:hAnsi="Times New Roman"/>
          <w:sz w:val="24"/>
          <w:szCs w:val="24"/>
          <w:lang w:eastAsia="ru-RU"/>
        </w:rPr>
        <w:t>Советский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8797F" w:rsidRPr="001D09B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8797F" w:rsidRPr="001D09BE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смену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>, которая носил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>военно</w:t>
      </w:r>
      <w:proofErr w:type="spellEnd"/>
      <w:r w:rsid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патриотическое направление.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Н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а базе отделения дневного пребывания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комплексного центра социального обслуживания населения «Сфера»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организованы и проведены 2 смены лагеря с дневным пребыванием несовершеннолетних (1 смена - с 01.06.2016 по 21.06.2016 года, 2 смена -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27.06.2016 по 17.07.2016 года).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Реализация летних оздоровительных смен лагеря с дневным пребыванием проходила в рамках программ летнего оздоровительного отдыха:</w:t>
      </w:r>
    </w:p>
    <w:p w:rsidR="00C93B3D" w:rsidRPr="00C93B3D" w:rsidRDefault="00FC3DFF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смена - </w:t>
      </w:r>
      <w:r w:rsidR="00C93B3D" w:rsidRPr="00C93B3D">
        <w:rPr>
          <w:rFonts w:ascii="Times New Roman" w:eastAsia="Times New Roman" w:hAnsi="Times New Roman"/>
          <w:sz w:val="24"/>
          <w:szCs w:val="24"/>
          <w:lang w:eastAsia="ru-RU"/>
        </w:rPr>
        <w:t>«Удивительные каникулы»;</w:t>
      </w:r>
    </w:p>
    <w:p w:rsidR="00C93B3D" w:rsidRPr="00C93B3D" w:rsidRDefault="00FC3DFF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смена -</w:t>
      </w:r>
      <w:r w:rsidR="00C93B3D"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«Формула безопасности».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Охват несовершеннолетних летним 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доровительным отдыхом в лагере с дневным пребыванием составил 40 человек, из числа находящихся в социально опасном положении и иной трудной жизненной ситуации.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у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чреждением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обслуживания населения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организован отдых и оздоровление несовершеннолетних, признанных нуждающимися в социальном обслуживании за пределами </w:t>
      </w:r>
      <w:r w:rsidR="00270D85">
        <w:rPr>
          <w:rFonts w:ascii="Times New Roman" w:eastAsia="Times New Roman" w:hAnsi="Times New Roman"/>
          <w:sz w:val="24"/>
          <w:szCs w:val="24"/>
          <w:lang w:eastAsia="ru-RU"/>
        </w:rPr>
        <w:t>Ханты – Мансийского автономного округа - Югры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выездных смены: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По программе «Сотрудничество» - Автономная некоммерческая организация санаторный оздоровительно-образовательный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«Витязь»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, г.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Тюмень, 7 несовершеннолетних, в период с 23.06.2016 – по 13.07.2016 года;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По программе ««Социальная поддержка жителей Ханты-Мансийского автономного округа-Югры на 2016-2020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ы» -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Филиал Лечебно-оздоровительного комплекса «Звездочка-Юг» ОАО «Центр судоремонта «Звездочка», Краснодарский край,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Анапа, 10 несовершеннолетних, в период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16.07.2016 по 05.08.2016 года;</w:t>
      </w:r>
    </w:p>
    <w:p w:rsidR="00C93B3D" w:rsidRPr="00C93B3D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программе ««Социальная поддержка жителей Ханты-Мансийского автономного округа-Югры на 2016-2020 годы»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Детский спортивный оздоровительный лагерь «</w:t>
      </w:r>
      <w:proofErr w:type="spellStart"/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Лазуревый</w:t>
      </w:r>
      <w:proofErr w:type="spellEnd"/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берег», Краснодарский край,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Геленджик, 10 несовершенн</w:t>
      </w:r>
      <w:r w:rsidR="00FC3DFF">
        <w:rPr>
          <w:rFonts w:ascii="Times New Roman" w:eastAsia="Times New Roman" w:hAnsi="Times New Roman"/>
          <w:sz w:val="24"/>
          <w:szCs w:val="24"/>
          <w:lang w:eastAsia="ru-RU"/>
        </w:rPr>
        <w:t xml:space="preserve">олетних, в период с 07.08.2016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по 30.08.2016 года;</w:t>
      </w:r>
    </w:p>
    <w:p w:rsidR="00FC3DFF" w:rsidRPr="00C93B3D" w:rsidRDefault="00C93B3D" w:rsidP="00FC3DF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Охват летним оздоровительным отдыхом за пределами города</w:t>
      </w:r>
      <w:r w:rsidR="00FC3DF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путёвкам Департамента социального развития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 – Мансийского </w:t>
      </w:r>
      <w:r w:rsidR="00FC3DFF">
        <w:rPr>
          <w:rFonts w:ascii="Times New Roman" w:eastAsia="Times New Roman" w:hAnsi="Times New Roman"/>
          <w:sz w:val="24"/>
          <w:szCs w:val="24"/>
          <w:lang w:eastAsia="ru-RU"/>
        </w:rPr>
        <w:t>автономного округа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 - Югры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D85">
        <w:rPr>
          <w:rFonts w:ascii="Times New Roman" w:eastAsia="Times New Roman" w:hAnsi="Times New Roman"/>
          <w:sz w:val="24"/>
          <w:szCs w:val="24"/>
          <w:lang w:eastAsia="ru-RU"/>
        </w:rPr>
        <w:t>(с учетом выезда</w:t>
      </w:r>
      <w:r w:rsidR="00270D85" w:rsidRPr="00270D85">
        <w:t xml:space="preserve"> </w:t>
      </w:r>
      <w:r w:rsidR="00270D85" w:rsidRPr="00270D85">
        <w:rPr>
          <w:rFonts w:ascii="Times New Roman" w:eastAsia="Times New Roman" w:hAnsi="Times New Roman"/>
          <w:sz w:val="24"/>
          <w:szCs w:val="24"/>
          <w:lang w:eastAsia="ru-RU"/>
        </w:rPr>
        <w:t>в детский оздоровительный лагерь «Окуневские зори»</w:t>
      </w:r>
      <w:r w:rsidR="00270D8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 </w:t>
      </w:r>
      <w:r w:rsidR="00FC3DFF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признанных нуждающимися в социальном обслуживании.</w:t>
      </w:r>
    </w:p>
    <w:p w:rsidR="0008797F" w:rsidRDefault="00C93B3D" w:rsidP="00C93B3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3D">
        <w:rPr>
          <w:rFonts w:ascii="Times New Roman" w:eastAsia="Times New Roman" w:hAnsi="Times New Roman"/>
          <w:sz w:val="24"/>
          <w:szCs w:val="24"/>
          <w:lang w:eastAsia="ru-RU"/>
        </w:rPr>
        <w:t>Несчастных случаев с детьми во время отдыха и оздоровления не зарегистрировано.</w:t>
      </w:r>
    </w:p>
    <w:p w:rsidR="008A3C93" w:rsidRPr="00DB5668" w:rsidRDefault="00FC3DFF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>Особ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в отдыхе на территории города Югорска отводится деятельност</w:t>
      </w:r>
      <w:r w:rsidR="0018684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8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клубов по месту жительства:</w:t>
      </w:r>
    </w:p>
    <w:p w:rsidR="008A3C93" w:rsidRDefault="00186848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>портивный клуб «Старт» муниципального бюджетного учреждения «Физкультурно-спортивный комплекс «Юность» (расположен на стадионе муниципального бюджетного образовательного учреждения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Гимназия</w:t>
      </w:r>
      <w:r w:rsidR="008A3C93" w:rsidRPr="00DB5668">
        <w:rPr>
          <w:rFonts w:ascii="Times New Roman" w:eastAsia="Times New Roman" w:hAnsi="Times New Roman"/>
          <w:sz w:val="24"/>
          <w:szCs w:val="24"/>
          <w:lang w:eastAsia="ru-RU"/>
        </w:rPr>
        <w:t>»);</w:t>
      </w:r>
    </w:p>
    <w:p w:rsidR="00F56F46" w:rsidRPr="00F56F46" w:rsidRDefault="00F56F46" w:rsidP="00F56F46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56F46">
        <w:rPr>
          <w:rFonts w:ascii="Times New Roman" w:eastAsia="Times New Roman" w:hAnsi="Times New Roman"/>
          <w:sz w:val="24"/>
          <w:szCs w:val="24"/>
          <w:lang w:eastAsia="ru-RU"/>
        </w:rPr>
        <w:t>- спортивный клуб «Факел» муниципального бюджетного образовательного учреждения дополнительного образования детей специализированная детско-юношеская спортивная школа олимпийского резерва «Смена» (расположен на ул. Садовая);</w:t>
      </w:r>
      <w:proofErr w:type="gramEnd"/>
    </w:p>
    <w:p w:rsidR="00186848" w:rsidRPr="00186848" w:rsidRDefault="00186848" w:rsidP="0018684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В спо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ртивн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клуб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популяризируются и 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практикуются такие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виды спорта как: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 xml:space="preserve"> легкая атлетика, лыжные гонки, футбол, волейбол, бадминтон, </w:t>
      </w:r>
      <w:proofErr w:type="spellStart"/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дартс</w:t>
      </w:r>
      <w:proofErr w:type="spellEnd"/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, настольные игры – шашки, шахматы, настольный футбол и хоккей.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 xml:space="preserve"> не традиционные виды спорта, которые пользуются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 xml:space="preserve">популярностью 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</w:t>
      </w:r>
      <w:r w:rsidR="00712256">
        <w:rPr>
          <w:rFonts w:ascii="Times New Roman" w:eastAsia="Times New Roman" w:hAnsi="Times New Roman"/>
          <w:sz w:val="24"/>
          <w:szCs w:val="24"/>
          <w:lang w:eastAsia="ru-RU"/>
        </w:rPr>
        <w:t>подростков,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имеющи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склонность к рискованному поведению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стритворкаут</w:t>
      </w:r>
      <w:proofErr w:type="spellEnd"/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, скейт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бординг,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велоэкстрим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кроссфит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86848">
        <w:rPr>
          <w:rFonts w:ascii="Times New Roman" w:eastAsia="Times New Roman" w:hAnsi="Times New Roman"/>
          <w:sz w:val="24"/>
          <w:szCs w:val="24"/>
          <w:lang w:eastAsia="ru-RU"/>
        </w:rPr>
        <w:t>Дети занимаются бесплатно, инвентарь предоставляется бесплатно.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посещения детьми, находящимися в социально опасном положении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56F46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ведется тренерами данных клубов.</w:t>
      </w:r>
    </w:p>
    <w:p w:rsidR="00884237" w:rsidRDefault="00884237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8708BC">
        <w:rPr>
          <w:rFonts w:ascii="Times New Roman" w:eastAsia="Times New Roman" w:hAnsi="Times New Roman"/>
          <w:sz w:val="24"/>
          <w:szCs w:val="24"/>
          <w:lang w:eastAsia="ru-RU"/>
        </w:rPr>
        <w:t>Приоритетным направлением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занятости несовершеннолетних 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летний период, </w:t>
      </w:r>
      <w:r w:rsidR="008708BC">
        <w:rPr>
          <w:rFonts w:ascii="Times New Roman" w:eastAsia="Times New Roman" w:hAnsi="Times New Roman"/>
          <w:sz w:val="24"/>
          <w:szCs w:val="24"/>
          <w:lang w:eastAsia="ru-RU"/>
        </w:rPr>
        <w:t>явил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708BC">
        <w:rPr>
          <w:rFonts w:ascii="Times New Roman" w:eastAsia="Times New Roman" w:hAnsi="Times New Roman"/>
          <w:sz w:val="24"/>
          <w:szCs w:val="24"/>
          <w:lang w:eastAsia="ru-RU"/>
        </w:rPr>
        <w:t>сь</w:t>
      </w:r>
      <w:r w:rsidR="002744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трудоустройств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несовершеннолетних.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8B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>омисси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организовано создание специальных трудовых рабочих мест на базе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учреждений системы профилактики безнадзорности правонарушений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в том числе:</w:t>
      </w:r>
    </w:p>
    <w:p w:rsidR="00186848" w:rsidRDefault="00884237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ксперт отдела по организации деятельности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с директором Югорск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занятости населения провели беседы, направленные на мотивирование несовершеннолетнего В., 09.12.1998 г.р., закончившего обучение по программе общеобразовательной школы и имеющего заболевание, препятствующе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работать на общих основаниях, по организации занятости в летний период и оказали содействие в его трудоустройстве курьером в отдел по организации деятельности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</w:t>
      </w:r>
      <w:r w:rsidRPr="00884237">
        <w:rPr>
          <w:rFonts w:ascii="Times New Roman" w:eastAsia="Times New Roman" w:hAnsi="Times New Roman"/>
          <w:sz w:val="24"/>
          <w:szCs w:val="24"/>
          <w:lang w:eastAsia="ru-RU"/>
        </w:rPr>
        <w:t>на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ериод с мая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июль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 года;</w:t>
      </w:r>
    </w:p>
    <w:p w:rsidR="00E81FD3" w:rsidRDefault="00E81FD3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</w:t>
      </w:r>
      <w:r w:rsidRPr="00E81FD3">
        <w:rPr>
          <w:rFonts w:ascii="Times New Roman" w:eastAsia="Times New Roman" w:hAnsi="Times New Roman"/>
          <w:sz w:val="24"/>
          <w:szCs w:val="24"/>
          <w:lang w:eastAsia="ru-RU"/>
        </w:rPr>
        <w:t>отде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ла по организации деятельности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организовал рабочее место для подростка, состоящего на профилактическом учете в ОМВД России по городу Югорску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июля по август 2016 года;</w:t>
      </w:r>
    </w:p>
    <w:p w:rsidR="00884237" w:rsidRDefault="00884237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ачальник отдела опеки и попеч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ительства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города Югорска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рабочее место </w:t>
      </w:r>
      <w:r w:rsidR="00C5630E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допустивш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совершение административно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относящ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к категории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«опекаемы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дет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>» в период с июля по август 2016 го</w:t>
      </w:r>
      <w:r w:rsidR="00C5630E">
        <w:rPr>
          <w:rFonts w:ascii="Times New Roman" w:eastAsia="Times New Roman" w:hAnsi="Times New Roman"/>
          <w:sz w:val="24"/>
          <w:szCs w:val="24"/>
          <w:lang w:eastAsia="ru-RU"/>
        </w:rPr>
        <w:t>да. Организация занятости и другие мероприятия позволили окончить индивидуальную реабилитационную работу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 и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условий,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способствующи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опасно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</w:t>
      </w:r>
      <w:r w:rsidR="00F94D0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E81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86848" w:rsidRDefault="00E81FD3" w:rsidP="008A3C9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иректор Комплексн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</w:t>
      </w:r>
      <w:r w:rsidR="000638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обслуживания населения «Сфера» организовал </w:t>
      </w:r>
      <w:r w:rsidR="00671E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места для несовершеннолетних, находящихся в социально опасном положении.</w:t>
      </w:r>
    </w:p>
    <w:p w:rsidR="000638FC" w:rsidRPr="000638FC" w:rsidRDefault="000638FC" w:rsidP="000638F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пециалистами отдела молодежных инициатив разработан и реализован проект «Максимум», направленный на организацию летнего отдыха несовершеннолетних, находящихся в социально опасном положении или 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>трудной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жизненной ситуации, и реализованный в течение 2 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>двух смен (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июнь, август) на грант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города Югорска. 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Задачей проекта было вовлечение подростков в активный интеллектуальный, эмоционально-насыщенный отдых, в общественно-полезную и позитивную досуговую деятельность с привлечением волонтеров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работающей молодежи. 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ичест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, участвую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щих в проекте (обе смены) – 23, и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з них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 17 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>подростков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>из числа, находящихся в социально опасном положении и иной трудной жизненной ситуации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23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38FC">
        <w:rPr>
          <w:rFonts w:ascii="Times New Roman" w:eastAsia="Times New Roman" w:hAnsi="Times New Roman"/>
          <w:sz w:val="24"/>
          <w:szCs w:val="24"/>
          <w:lang w:eastAsia="ru-RU"/>
        </w:rPr>
        <w:t>Реализация проекта продолжится в осенний каникулярный период.</w:t>
      </w:r>
    </w:p>
    <w:p w:rsidR="00E66AAC" w:rsidRPr="00E66AAC" w:rsidRDefault="00E66AAC" w:rsidP="00E66AAC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Кроме того, в целях обеспечения комплексной безопасности несовершеннолетних в летний период</w:t>
      </w:r>
      <w:r w:rsidR="00F94D06">
        <w:rPr>
          <w:rFonts w:ascii="Times New Roman" w:eastAsia="Times New Roman" w:hAnsi="Times New Roman"/>
          <w:sz w:val="24"/>
          <w:szCs w:val="24"/>
          <w:lang w:eastAsia="ar-SA"/>
        </w:rPr>
        <w:t xml:space="preserve">  Комиссией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E66AAC" w:rsidRPr="00E66AAC" w:rsidRDefault="00E66AAC" w:rsidP="00E66AAC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4D06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риняты мер</w:t>
      </w:r>
      <w:r w:rsidR="00F94D06"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недопущению выдвижения групп детей в походы (в том числе ле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сны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е массивы), на аттестованные пляжи в сопровождении лиц, не имеющих специальных знаний о мерах личной и коллективной безопасности, правилах поведения в случае возникновения чрезвычайных ситуаций, оказания первой доврачебной помощи, спасения на водных объектах;</w:t>
      </w:r>
    </w:p>
    <w:p w:rsidR="00E66AAC" w:rsidRPr="00E66AAC" w:rsidRDefault="00E66AAC" w:rsidP="00E66AAC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4D06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роведены дополнительные инструктажи (под роспись) с руководителями и персоналом объектов летнего детского отдыха.</w:t>
      </w:r>
    </w:p>
    <w:p w:rsidR="00E66AAC" w:rsidRPr="00E66AAC" w:rsidRDefault="00E66AAC" w:rsidP="00E66AAC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F94D06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 xml:space="preserve">аспространены буклеты по безопасности: «Памятка для родителей по безопасности детей в летний период», «Памятка для родителей по безопасности на железной дороге», 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«Памятка для родителей по безопасности детей в поездах на автомобиле, водным и воздушным транспортом», «Памятка для родителей по безопасности детей в самолете»</w:t>
      </w:r>
      <w:r w:rsidR="00DA43E8">
        <w:rPr>
          <w:rFonts w:ascii="Times New Roman" w:eastAsia="Times New Roman" w:hAnsi="Times New Roman"/>
          <w:sz w:val="24"/>
          <w:szCs w:val="24"/>
          <w:lang w:eastAsia="ar-SA"/>
        </w:rPr>
        <w:t xml:space="preserve"> и др</w:t>
      </w:r>
      <w:r w:rsidRPr="00E66AA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37410" w:rsidRPr="00DB5668" w:rsidRDefault="00C37410" w:rsidP="00C3741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Межведомственная комплексная профилактическая операция «Подросток» обеспечивает реализацию социально-профилактических мер, направленных на устранение причин и условий противоправного поведения несовершеннолетних; защиту прав и законных интересов несовершеннолетних. Операция позволила: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- обеспечить межведомственное взаимодействие в летний период;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- обеспечить ежемесячную занятость несовершеннолетних, находящихся в социально опасном положении;</w:t>
      </w:r>
    </w:p>
    <w:p w:rsidR="00C37410" w:rsidRPr="0008797F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>- не допустить преступлений совершенных несовершеннолетними в период летних каникул (</w:t>
      </w:r>
      <w:r w:rsidR="00E66AA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преступлени</w:t>
      </w:r>
      <w:r w:rsidR="00E66AA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r w:rsidR="00E66AA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зарегистрированных за </w:t>
      </w:r>
      <w:r w:rsidR="00E66AA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201</w:t>
      </w:r>
      <w:r w:rsidR="00E66AA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79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года);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- не допустить фактов жестокого обращения с детьми, оставления детей без попечения родителей;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- не допустить несчастных случаев с несовершеннолетними в период летнего отдыха и занятости;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- задействовать общественные организации и детей в профилактику детской безнадзорности и правонарушений несовершеннолетних; </w:t>
      </w:r>
    </w:p>
    <w:p w:rsidR="00C37410" w:rsidRPr="00DB5668" w:rsidRDefault="00C37410" w:rsidP="00E66AA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- использовать всеми органами и учреждениями системы профилактики информационные ресурсы города Югорска.</w:t>
      </w:r>
    </w:p>
    <w:p w:rsidR="00C37410" w:rsidRPr="00DB5668" w:rsidRDefault="00C37410" w:rsidP="00270D85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DB5668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ходом операции позволил оперативно решать вопросы устройства детей, организации их летнего отдыха, занятости, оказания различных видов помощи.</w:t>
      </w:r>
    </w:p>
    <w:sectPr w:rsidR="00C37410" w:rsidRPr="00DB5668" w:rsidSect="001D1CFC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A757A1"/>
    <w:multiLevelType w:val="hybridMultilevel"/>
    <w:tmpl w:val="8DE2B508"/>
    <w:lvl w:ilvl="0" w:tplc="67B646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30B9D"/>
    <w:rsid w:val="00050EDF"/>
    <w:rsid w:val="000638FC"/>
    <w:rsid w:val="0008797F"/>
    <w:rsid w:val="00121376"/>
    <w:rsid w:val="001658FF"/>
    <w:rsid w:val="00186848"/>
    <w:rsid w:val="001D09BE"/>
    <w:rsid w:val="001D1CFC"/>
    <w:rsid w:val="00233A7A"/>
    <w:rsid w:val="002446A6"/>
    <w:rsid w:val="00270D85"/>
    <w:rsid w:val="00274404"/>
    <w:rsid w:val="002E1588"/>
    <w:rsid w:val="00332814"/>
    <w:rsid w:val="00373449"/>
    <w:rsid w:val="003B5152"/>
    <w:rsid w:val="004053D7"/>
    <w:rsid w:val="00460118"/>
    <w:rsid w:val="00597ADB"/>
    <w:rsid w:val="006409D4"/>
    <w:rsid w:val="00662587"/>
    <w:rsid w:val="00662B35"/>
    <w:rsid w:val="00671EE0"/>
    <w:rsid w:val="006E788F"/>
    <w:rsid w:val="00712256"/>
    <w:rsid w:val="007A5089"/>
    <w:rsid w:val="008708BC"/>
    <w:rsid w:val="008717B8"/>
    <w:rsid w:val="00884237"/>
    <w:rsid w:val="008A3C93"/>
    <w:rsid w:val="00930094"/>
    <w:rsid w:val="00990A21"/>
    <w:rsid w:val="009B2AEC"/>
    <w:rsid w:val="009C7192"/>
    <w:rsid w:val="00A32281"/>
    <w:rsid w:val="00A470B5"/>
    <w:rsid w:val="00A72550"/>
    <w:rsid w:val="00AC7431"/>
    <w:rsid w:val="00B92087"/>
    <w:rsid w:val="00BC18FE"/>
    <w:rsid w:val="00BD7637"/>
    <w:rsid w:val="00BE146C"/>
    <w:rsid w:val="00BE6F9F"/>
    <w:rsid w:val="00C21B12"/>
    <w:rsid w:val="00C2454D"/>
    <w:rsid w:val="00C37410"/>
    <w:rsid w:val="00C47049"/>
    <w:rsid w:val="00C5630E"/>
    <w:rsid w:val="00C93B3D"/>
    <w:rsid w:val="00CC28F4"/>
    <w:rsid w:val="00D03EC5"/>
    <w:rsid w:val="00D31B47"/>
    <w:rsid w:val="00D466D4"/>
    <w:rsid w:val="00D606F1"/>
    <w:rsid w:val="00DA43E8"/>
    <w:rsid w:val="00DA76E1"/>
    <w:rsid w:val="00DB5668"/>
    <w:rsid w:val="00E45FB1"/>
    <w:rsid w:val="00E66AAC"/>
    <w:rsid w:val="00E81FD3"/>
    <w:rsid w:val="00E9062F"/>
    <w:rsid w:val="00F231D9"/>
    <w:rsid w:val="00F53171"/>
    <w:rsid w:val="00F56F46"/>
    <w:rsid w:val="00F63B9C"/>
    <w:rsid w:val="00F94D06"/>
    <w:rsid w:val="00F97598"/>
    <w:rsid w:val="00FB24A4"/>
    <w:rsid w:val="00FC3DFF"/>
    <w:rsid w:val="00FE156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D1CFC"/>
    <w:pPr>
      <w:keepNext/>
      <w:numPr>
        <w:ilvl w:val="2"/>
        <w:numId w:val="1"/>
      </w:numPr>
      <w:tabs>
        <w:tab w:val="left" w:pos="720"/>
      </w:tabs>
      <w:suppressAutoHyphens/>
      <w:jc w:val="center"/>
      <w:outlineLvl w:val="2"/>
    </w:pPr>
    <w:rPr>
      <w:rFonts w:ascii="Times New Roman" w:eastAsia="Arial Unicode MS" w:hAnsi="Times New Roman"/>
      <w:b/>
      <w:bCs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D1CFC"/>
    <w:pPr>
      <w:numPr>
        <w:ilvl w:val="5"/>
        <w:numId w:val="1"/>
      </w:numPr>
      <w:suppressAutoHyphens/>
      <w:spacing w:before="240" w:after="60"/>
      <w:jc w:val="left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D1CFC"/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D1CFC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5">
    <w:name w:val="Заголовок"/>
    <w:basedOn w:val="a"/>
    <w:next w:val="a6"/>
    <w:rsid w:val="001D1CFC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1D1CFC"/>
    <w:pPr>
      <w:suppressAutoHyphens/>
      <w:spacing w:after="120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D1C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1CFC"/>
    <w:pPr>
      <w:suppressAutoHyphens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D1CFC"/>
    <w:pPr>
      <w:keepNext/>
      <w:numPr>
        <w:ilvl w:val="2"/>
        <w:numId w:val="1"/>
      </w:numPr>
      <w:tabs>
        <w:tab w:val="left" w:pos="720"/>
      </w:tabs>
      <w:suppressAutoHyphens/>
      <w:jc w:val="center"/>
      <w:outlineLvl w:val="2"/>
    </w:pPr>
    <w:rPr>
      <w:rFonts w:ascii="Times New Roman" w:eastAsia="Arial Unicode MS" w:hAnsi="Times New Roman"/>
      <w:b/>
      <w:bCs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D1CFC"/>
    <w:pPr>
      <w:numPr>
        <w:ilvl w:val="5"/>
        <w:numId w:val="1"/>
      </w:numPr>
      <w:suppressAutoHyphens/>
      <w:spacing w:before="240" w:after="60"/>
      <w:jc w:val="left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D1CFC"/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D1CFC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5">
    <w:name w:val="Заголовок"/>
    <w:basedOn w:val="a"/>
    <w:next w:val="a6"/>
    <w:rsid w:val="001D1CFC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1D1CFC"/>
    <w:pPr>
      <w:suppressAutoHyphens/>
      <w:spacing w:after="120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D1C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1CFC"/>
    <w:pPr>
      <w:suppressAutoHyphens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016603137768815E-2"/>
          <c:y val="0.17039757665803054"/>
          <c:w val="0.93698041041339419"/>
          <c:h val="0.672811059907834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детей на начало года</c:v>
                </c:pt>
              </c:strCache>
            </c:strRef>
          </c:tx>
          <c:spPr>
            <a:solidFill>
              <a:srgbClr val="9999FF"/>
            </a:solidFill>
            <a:ln w="127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0125223259243458E-3"/>
                  <c:y val="0.10082549042220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250446518486915E-3"/>
                  <c:y val="0.11143869994033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50446518486915E-3"/>
                  <c:y val="0.111438699940332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2735851421752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111464968152866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60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8022</c:v>
                </c:pt>
                <c:pt idx="1">
                  <c:v>8457</c:v>
                </c:pt>
                <c:pt idx="2">
                  <c:v>8752</c:v>
                </c:pt>
                <c:pt idx="3">
                  <c:v>9163</c:v>
                </c:pt>
                <c:pt idx="4">
                  <c:v>9417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30"/>
        <c:shape val="box"/>
        <c:axId val="82691968"/>
        <c:axId val="82693504"/>
        <c:axId val="0"/>
      </c:bar3DChart>
      <c:catAx>
        <c:axId val="8269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693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693504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691968"/>
        <c:crosses val="autoZero"/>
        <c:crossBetween val="between"/>
      </c:valAx>
      <c:spPr>
        <a:noFill/>
        <a:ln w="25460">
          <a:noFill/>
        </a:ln>
      </c:spPr>
    </c:plotArea>
    <c:legend>
      <c:legendPos val="b"/>
      <c:layout>
        <c:manualLayout>
          <c:xMode val="edge"/>
          <c:yMode val="edge"/>
          <c:x val="0.28924423721959225"/>
          <c:y val="3.8626126790330985E-2"/>
          <c:w val="0.42956792032415886"/>
          <c:h val="0.10138248847926268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618320610687022E-2"/>
          <c:y val="0"/>
          <c:w val="0.95038167938931295"/>
          <c:h val="0.9122187171398528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семей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0.119148936170212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2482269503546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0393374741201E-3"/>
                  <c:y val="0.10212765957446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40786749482402E-3"/>
                  <c:y val="0.12482269503546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75789909872578E-3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 formatCode="m/d/yyyy">
                  <c:v>42644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62</c:v>
                </c:pt>
                <c:pt idx="1">
                  <c:v>64</c:v>
                </c:pt>
                <c:pt idx="2">
                  <c:v>44</c:v>
                </c:pt>
                <c:pt idx="3">
                  <c:v>60</c:v>
                </c:pt>
                <c:pt idx="4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них детей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5959472457247196E-3"/>
                  <c:y val="0.10614485955213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534096281443081E-3"/>
                  <c:y val="0.12087786898978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557587910206876E-3"/>
                  <c:y val="0.108348690456246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05689506202953E-3"/>
                  <c:y val="0.115928742949684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620922384701914E-3"/>
                  <c:y val="0.10500251298374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 formatCode="m/d/yyyy">
                  <c:v>42644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92</c:v>
                </c:pt>
                <c:pt idx="1">
                  <c:v>91</c:v>
                </c:pt>
                <c:pt idx="2">
                  <c:v>63</c:v>
                </c:pt>
                <c:pt idx="3">
                  <c:v>89</c:v>
                </c:pt>
                <c:pt idx="4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60"/>
        <c:shape val="box"/>
        <c:axId val="83448960"/>
        <c:axId val="83450496"/>
        <c:axId val="83435520"/>
      </c:bar3DChart>
      <c:catAx>
        <c:axId val="834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450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450496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448960"/>
        <c:crosses val="autoZero"/>
        <c:crossBetween val="between"/>
      </c:valAx>
      <c:serAx>
        <c:axId val="83435520"/>
        <c:scaling>
          <c:orientation val="minMax"/>
        </c:scaling>
        <c:delete val="1"/>
        <c:axPos val="b"/>
        <c:majorTickMark val="out"/>
        <c:minorTickMark val="none"/>
        <c:tickLblPos val="nextTo"/>
        <c:crossAx val="83450496"/>
        <c:crosses val="autoZero"/>
      </c:ser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33587786259541985"/>
          <c:y val="0.88"/>
          <c:w val="0.33587786259541985"/>
          <c:h val="9.7777777777777783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755248412857216E-2"/>
          <c:y val="6.9230769230769235E-2"/>
          <c:w val="0.54590176421420822"/>
          <c:h val="0.7859566161472155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9090404762020788E-2"/>
                  <c:y val="-1.20544473153310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655253789614895E-2"/>
                  <c:y val="-0.216856209083899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2574368625888419E-2"/>
                  <c:y val="4.62062219959596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общественное опасное деяние</c:v>
                </c:pt>
                <c:pt idx="1">
                  <c:v>употребление алкгольной продукции</c:v>
                </c:pt>
                <c:pt idx="2">
                  <c:v>бродяжничество</c:v>
                </c:pt>
                <c:pt idx="3">
                  <c:v>условное осуждение</c:v>
                </c:pt>
                <c:pt idx="4">
                  <c:v>употрбеление вредной продукции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</c:v>
                </c:pt>
                <c:pt idx="1">
                  <c:v>18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общественное опасное деяние</c:v>
                </c:pt>
                <c:pt idx="1">
                  <c:v>употребление алкгольной продукции</c:v>
                </c:pt>
                <c:pt idx="2">
                  <c:v>бродяжничество</c:v>
                </c:pt>
                <c:pt idx="3">
                  <c:v>условное осуждение</c:v>
                </c:pt>
                <c:pt idx="4">
                  <c:v>употрбеление вредной продукции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09566525703273"/>
          <c:y val="1.4298978644382542E-2"/>
          <c:w val="0.35663966054876051"/>
          <c:h val="0.7891891753139659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45511482254697E-2"/>
          <c:y val="3.8534736729337396E-2"/>
          <c:w val="0.92066805845511479"/>
          <c:h val="0.8816522041887621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преступлений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004400440044002E-3"/>
                  <c:y val="9.001406469760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004400440044002E-3"/>
                  <c:y val="0.11251758087201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9 мес. 2016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15</c:v>
                </c:pt>
                <c:pt idx="2">
                  <c:v>19</c:v>
                </c:pt>
                <c:pt idx="3">
                  <c:v>22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участников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04287830357839E-2"/>
                  <c:y val="8.0023035095296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142728060213303E-2"/>
                  <c:y val="4.2839735177333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091874386685157E-2"/>
                  <c:y val="-2.0848800149981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3742482091027497E-2"/>
                  <c:y val="-4.8635146568217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671341588053972E-2"/>
                  <c:y val="-7.1154807572130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chemeClr val="bg1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9 мес. 2016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15</c:v>
                </c:pt>
                <c:pt idx="1">
                  <c:v>19</c:v>
                </c:pt>
                <c:pt idx="2">
                  <c:v>14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80"/>
        <c:shape val="box"/>
        <c:axId val="110248704"/>
        <c:axId val="110250240"/>
        <c:axId val="83438656"/>
      </c:bar3DChart>
      <c:catAx>
        <c:axId val="11024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250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02502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248704"/>
        <c:crosses val="autoZero"/>
        <c:crossBetween val="between"/>
      </c:valAx>
      <c:serAx>
        <c:axId val="83438656"/>
        <c:scaling>
          <c:orientation val="minMax"/>
        </c:scaling>
        <c:delete val="1"/>
        <c:axPos val="b"/>
        <c:majorTickMark val="out"/>
        <c:minorTickMark val="none"/>
        <c:tickLblPos val="nextTo"/>
        <c:crossAx val="110250240"/>
        <c:crosses val="autoZero"/>
      </c:ser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26931106471816285"/>
          <c:y val="0.86263736263736268"/>
          <c:w val="0.4613778705636743"/>
          <c:h val="0.1208791208791208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859154929577461E-2"/>
          <c:y val="4.9450549450549448E-2"/>
          <c:w val="0.64260563380281688"/>
          <c:h val="0.6813186813186813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общественного воздействия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9 мес.2016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51</c:v>
                </c:pt>
                <c:pt idx="1">
                  <c:v>59</c:v>
                </c:pt>
                <c:pt idx="2">
                  <c:v>57</c:v>
                </c:pt>
                <c:pt idx="3">
                  <c:v>58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административных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9 мес.2016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257</c:v>
                </c:pt>
                <c:pt idx="1">
                  <c:v>265</c:v>
                </c:pt>
                <c:pt idx="2">
                  <c:v>235</c:v>
                </c:pt>
                <c:pt idx="3">
                  <c:v>217</c:v>
                </c:pt>
                <c:pt idx="4">
                  <c:v>180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всего дел</c:v>
                </c:pt>
              </c:strCache>
            </c:strRef>
          </c:tx>
          <c:spPr>
            <a:solidFill>
              <a:srgbClr val="FFFF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198531594296198E-2"/>
                  <c:y val="5.297621451164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716994248673276E-3"/>
                  <c:y val="3.6452516752713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082475371285835E-3"/>
                  <c:y val="5.6574911309163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025421282630886E-3"/>
                  <c:y val="8.002381312912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9785268602426016E-3"/>
                  <c:y val="2.7243036928076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9 мес.2016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308</c:v>
                </c:pt>
                <c:pt idx="1">
                  <c:v>324</c:v>
                </c:pt>
                <c:pt idx="2">
                  <c:v>292</c:v>
                </c:pt>
                <c:pt idx="3">
                  <c:v>275</c:v>
                </c:pt>
                <c:pt idx="4">
                  <c:v>203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90"/>
        <c:shape val="box"/>
        <c:axId val="115259648"/>
        <c:axId val="115822592"/>
        <c:axId val="110253824"/>
      </c:bar3DChart>
      <c:catAx>
        <c:axId val="115259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5822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5822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5259648"/>
        <c:crosses val="autoZero"/>
        <c:crossBetween val="between"/>
      </c:valAx>
      <c:serAx>
        <c:axId val="110253824"/>
        <c:scaling>
          <c:orientation val="minMax"/>
        </c:scaling>
        <c:delete val="1"/>
        <c:axPos val="b"/>
        <c:majorTickMark val="out"/>
        <c:minorTickMark val="none"/>
        <c:tickLblPos val="nextTo"/>
        <c:crossAx val="115822592"/>
        <c:crosses val="autoZero"/>
      </c:ser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1830985915493"/>
          <c:y val="0.34065934065934067"/>
          <c:w val="0.27112676056338031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200"/>
              <a:t>Занятость детей, находящихся в социально опасном положении в июне  2016, всего 35 (на 30.06.2016)</a:t>
            </a:r>
          </a:p>
        </c:rich>
      </c:tx>
      <c:overlay val="0"/>
    </c:title>
    <c:autoTitleDeleted val="0"/>
    <c:view3D>
      <c:rotX val="75"/>
      <c:rotY val="0"/>
      <c:rAngAx val="0"/>
      <c:perspective val="7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8481567837088864"/>
          <c:w val="0.64900566949546079"/>
          <c:h val="0.71703387838813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детей, состоящих на учете в КДН июнь 2016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Трудоустроенно</c:v>
                </c:pt>
                <c:pt idx="1">
                  <c:v>Посещали детские оздоровительные лагеря </c:v>
                </c:pt>
                <c:pt idx="2">
                  <c:v>Находились (посещали) реабилитационные центры</c:v>
                </c:pt>
                <c:pt idx="3">
                  <c:v>Посещали клубы по месту жительства</c:v>
                </c:pt>
                <c:pt idx="4">
                  <c:v>Выезжали с родителями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5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805255475866008"/>
          <c:y val="0.24958158598113431"/>
          <c:w val="0.27088265652186733"/>
          <c:h val="0.44800434428455066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Занятость детей, находящихся в социально опасном положении в июле 2016, всего 34 (на 31.07.2016)</a:t>
            </a:r>
          </a:p>
        </c:rich>
      </c:tx>
      <c:overlay val="0"/>
    </c:title>
    <c:autoTitleDeleted val="0"/>
    <c:view3D>
      <c:rotX val="75"/>
      <c:rotY val="0"/>
      <c:rAngAx val="0"/>
      <c:perspective val="7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детей, состоящих на учете в КДН июль 2016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Трудоустроенно</c:v>
                </c:pt>
                <c:pt idx="1">
                  <c:v>Посещали детские оздоровительные лагеря </c:v>
                </c:pt>
                <c:pt idx="2">
                  <c:v>Находились (посещали) реабилитационные центры</c:v>
                </c:pt>
                <c:pt idx="3">
                  <c:v>Посещали клубы по месту жительства</c:v>
                </c:pt>
                <c:pt idx="4">
                  <c:v>Выезжали с родителями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95658875973838"/>
          <c:y val="0.33117299361969998"/>
          <c:w val="0.34042553191489361"/>
          <c:h val="0.49675775822139878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200"/>
              <a:t>Занятость детей, находящихся в социально опасном положении в августе 2016, всего 36 (на 31.08.2016)</a:t>
            </a:r>
          </a:p>
        </c:rich>
      </c:tx>
      <c:overlay val="0"/>
    </c:title>
    <c:autoTitleDeleted val="0"/>
    <c:view3D>
      <c:rotX val="75"/>
      <c:rotY val="0"/>
      <c:rAngAx val="0"/>
      <c:perspective val="7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детей, состоящих на учете в КДН август 2014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Трудоустроенно</c:v>
                </c:pt>
                <c:pt idx="1">
                  <c:v>Посещали детские оздоровительные лагеря </c:v>
                </c:pt>
                <c:pt idx="2">
                  <c:v>Находились (посещали) реабилитационные центры</c:v>
                </c:pt>
                <c:pt idx="3">
                  <c:v>Посещали клубы по месту жительства</c:v>
                </c:pt>
                <c:pt idx="4">
                  <c:v>Выезжали с родителями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2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189307161382548"/>
          <c:y val="0.24517550578551223"/>
          <c:w val="0.34042553191489361"/>
          <c:h val="0.5072001134993261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EAFF-B5BE-466E-9CB6-A4135D40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Салейко Анастасия Станиславовна</cp:lastModifiedBy>
  <cp:revision>4</cp:revision>
  <cp:lastPrinted>2016-10-21T06:33:00Z</cp:lastPrinted>
  <dcterms:created xsi:type="dcterms:W3CDTF">2016-10-21T12:03:00Z</dcterms:created>
  <dcterms:modified xsi:type="dcterms:W3CDTF">2016-10-25T10:22:00Z</dcterms:modified>
</cp:coreProperties>
</file>