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1513F981" w:rsidR="00EF1D23" w:rsidRPr="005E6780" w:rsidRDefault="009B7BB3" w:rsidP="005E6780">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3A577A31" wp14:editId="48F789B5">
                  <wp:extent cx="3131820" cy="19837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98374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70E63695" w14:textId="1B5A5340" w:rsidR="003E399A" w:rsidRDefault="00FF5263"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A1CF7A3" w:rsidR="009F4D0C" w:rsidRDefault="009F4D0C" w:rsidP="003E399A">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3E399A" w:rsidRPr="003E399A">
        <w:rPr>
          <w:rFonts w:ascii="PT Astra Serif" w:hAnsi="PT Astra Serif"/>
          <w:b/>
          <w:bCs/>
          <w:sz w:val="24"/>
          <w:u w:val="single"/>
          <w:lang w:val="ru-RU"/>
        </w:rPr>
        <w:t xml:space="preserve">поставку </w:t>
      </w:r>
      <w:r w:rsidR="005E6910">
        <w:rPr>
          <w:rFonts w:ascii="PT Astra Serif" w:hAnsi="PT Astra Serif"/>
          <w:b/>
          <w:bCs/>
          <w:sz w:val="24"/>
          <w:u w:val="single"/>
          <w:lang w:val="ru-RU"/>
        </w:rPr>
        <w:t>средств криптографической защиты информации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EB6997"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EB6997"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3F3FDC3" w:rsidR="00291651" w:rsidRPr="00A123AB" w:rsidRDefault="002E2203" w:rsidP="00BA48CE">
            <w:pPr>
              <w:rPr>
                <w:rFonts w:ascii="PT Astra Serif" w:hAnsi="PT Astra Serif"/>
                <w:color w:val="000099"/>
                <w:sz w:val="24"/>
                <w:szCs w:val="24"/>
                <w:lang w:val="ru-RU"/>
              </w:rPr>
            </w:pPr>
            <w:r w:rsidRPr="002E2203">
              <w:rPr>
                <w:rFonts w:ascii="PT Astra Serif" w:hAnsi="PT Astra Serif"/>
                <w:color w:val="000099"/>
                <w:sz w:val="24"/>
                <w:szCs w:val="24"/>
                <w:lang w:val="ru-RU"/>
              </w:rPr>
              <w:t>223862200236886220100101930012620244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EB6997"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EB6997"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58BC81BF" w:rsidR="00D65C2B" w:rsidRPr="00D65C2B" w:rsidRDefault="00291651" w:rsidP="005E6910">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на право заключения муниципального контракта на </w:t>
            </w:r>
            <w:r w:rsidR="003E399A" w:rsidRPr="003E399A">
              <w:rPr>
                <w:rFonts w:ascii="PT Astra Serif" w:hAnsi="PT Astra Serif"/>
                <w:bCs/>
                <w:color w:val="000000"/>
                <w:sz w:val="24"/>
                <w:szCs w:val="24"/>
                <w:lang w:val="ru-RU"/>
              </w:rPr>
              <w:t xml:space="preserve">поставку </w:t>
            </w:r>
            <w:r w:rsidR="005E6910" w:rsidRPr="005E6910">
              <w:rPr>
                <w:rFonts w:ascii="PT Astra Serif" w:hAnsi="PT Astra Serif"/>
                <w:bCs/>
                <w:color w:val="000000"/>
                <w:sz w:val="24"/>
                <w:szCs w:val="24"/>
                <w:lang w:val="ru-RU"/>
              </w:rPr>
              <w:t>средств криптографической защиты информации</w:t>
            </w:r>
          </w:p>
        </w:tc>
      </w:tr>
      <w:tr w:rsidR="00291651" w:rsidRPr="00EB6997"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56558788" w:rsidR="00291651" w:rsidRPr="00EA4B0D" w:rsidRDefault="00EA4B0D"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704807AC" w:rsidR="00291651" w:rsidRPr="000F4306" w:rsidRDefault="00EA4B0D" w:rsidP="00C173D4">
            <w:pPr>
              <w:rPr>
                <w:rFonts w:ascii="PT Astra Serif" w:hAnsi="PT Astra Serif"/>
                <w:sz w:val="24"/>
                <w:szCs w:val="24"/>
                <w:highlight w:val="yellow"/>
                <w:lang w:val="ru-RU"/>
              </w:rPr>
            </w:pPr>
            <w:r w:rsidRPr="00EA4B0D">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EA4B0D" w:rsidRPr="00CB6E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18C1AC0"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016210" w14:textId="77777777" w:rsidR="00CB6EB1" w:rsidRDefault="00EA4B0D" w:rsidP="00CB6E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w:t>
            </w:r>
            <w:r w:rsidR="00CB6EB1">
              <w:rPr>
                <w:rFonts w:ascii="PT Astra Serif" w:hAnsi="PT Astra Serif"/>
                <w:color w:val="000099"/>
                <w:sz w:val="24"/>
                <w:szCs w:val="24"/>
                <w:lang w:val="ru-RU"/>
              </w:rPr>
              <w:t>рок поставки -</w:t>
            </w:r>
            <w:r w:rsidRPr="00044E24">
              <w:rPr>
                <w:rFonts w:ascii="PT Astra Serif" w:hAnsi="PT Astra Serif"/>
                <w:color w:val="000099"/>
                <w:sz w:val="24"/>
                <w:szCs w:val="24"/>
                <w:lang w:val="ru-RU"/>
              </w:rPr>
              <w:t xml:space="preserve"> </w:t>
            </w:r>
            <w:r w:rsidRPr="003E399A">
              <w:rPr>
                <w:rFonts w:ascii="PT Astra Serif" w:hAnsi="PT Astra Serif"/>
                <w:color w:val="000099"/>
                <w:sz w:val="24"/>
                <w:szCs w:val="24"/>
                <w:lang w:val="ru-RU"/>
              </w:rPr>
              <w:t>3</w:t>
            </w:r>
            <w:r w:rsidR="005E6910">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5E6910">
              <w:rPr>
                <w:rFonts w:ascii="PT Astra Serif" w:hAnsi="PT Astra Serif"/>
                <w:color w:val="000099"/>
                <w:sz w:val="24"/>
                <w:szCs w:val="24"/>
                <w:lang w:val="ru-RU"/>
              </w:rPr>
              <w:t>1</w:t>
            </w:r>
            <w:r w:rsidRPr="00044E24">
              <w:rPr>
                <w:rFonts w:ascii="PT Astra Serif" w:hAnsi="PT Astra Serif"/>
                <w:color w:val="000099"/>
                <w:sz w:val="24"/>
                <w:szCs w:val="24"/>
                <w:lang w:val="ru-RU"/>
              </w:rPr>
              <w:t>0.2022</w:t>
            </w:r>
            <w:r w:rsidR="00CB6EB1">
              <w:rPr>
                <w:rFonts w:ascii="PT Astra Serif" w:hAnsi="PT Astra Serif"/>
                <w:color w:val="000099"/>
                <w:sz w:val="24"/>
                <w:szCs w:val="24"/>
                <w:lang w:val="ru-RU"/>
              </w:rPr>
              <w:t>.</w:t>
            </w:r>
          </w:p>
          <w:p w14:paraId="1BD9EFD2" w14:textId="606F6A79" w:rsidR="00CB6EB1" w:rsidRDefault="00CB6EB1" w:rsidP="00CB6E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B52267">
              <w:rPr>
                <w:rFonts w:ascii="PT Astra Serif" w:hAnsi="PT Astra Serif"/>
                <w:color w:val="000099"/>
                <w:sz w:val="24"/>
                <w:szCs w:val="24"/>
                <w:lang w:val="ru-RU"/>
              </w:rPr>
              <w:t>13</w:t>
            </w:r>
            <w:r>
              <w:rPr>
                <w:rFonts w:ascii="PT Astra Serif" w:hAnsi="PT Astra Serif"/>
                <w:color w:val="000099"/>
                <w:sz w:val="24"/>
                <w:szCs w:val="24"/>
                <w:lang w:val="ru-RU"/>
              </w:rPr>
              <w:t>.09.</w:t>
            </w:r>
            <w:r w:rsidRPr="000013E2">
              <w:rPr>
                <w:rFonts w:ascii="PT Astra Serif" w:hAnsi="PT Astra Serif"/>
                <w:color w:val="000099"/>
                <w:sz w:val="24"/>
                <w:szCs w:val="24"/>
                <w:lang w:val="ru-RU"/>
              </w:rPr>
              <w:t>2022.</w:t>
            </w:r>
          </w:p>
          <w:p w14:paraId="6764E7D4" w14:textId="63F81D2E" w:rsidR="00CB6EB1" w:rsidRPr="00CB6EB1" w:rsidRDefault="00CB6EB1" w:rsidP="00B23B8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окончания исполнения контракта: 1</w:t>
            </w:r>
            <w:r w:rsidR="00B23B80">
              <w:rPr>
                <w:rFonts w:ascii="PT Astra Serif" w:hAnsi="PT Astra Serif"/>
                <w:color w:val="000099"/>
                <w:sz w:val="24"/>
                <w:szCs w:val="24"/>
                <w:lang w:val="ru-RU"/>
              </w:rPr>
              <w:t>1</w:t>
            </w:r>
            <w:r>
              <w:rPr>
                <w:rFonts w:ascii="PT Astra Serif" w:hAnsi="PT Astra Serif"/>
                <w:color w:val="000099"/>
                <w:sz w:val="24"/>
                <w:szCs w:val="24"/>
                <w:lang w:val="ru-RU"/>
              </w:rPr>
              <w:t>.11.2022.</w:t>
            </w:r>
          </w:p>
        </w:tc>
      </w:tr>
      <w:tr w:rsidR="00EA4B0D" w:rsidRPr="00EB6997"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621A4A85"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CD3CE6E" w:rsidR="00EA4B0D" w:rsidRPr="000F4306" w:rsidRDefault="00ED66A2" w:rsidP="005E6910">
            <w:pPr>
              <w:jc w:val="both"/>
              <w:rPr>
                <w:rFonts w:ascii="PT Astra Serif" w:hAnsi="PT Astra Serif"/>
                <w:sz w:val="24"/>
                <w:szCs w:val="24"/>
                <w:lang w:val="ru-RU"/>
              </w:rPr>
            </w:pPr>
            <w:r>
              <w:rPr>
                <w:rFonts w:ascii="PT Astra Serif" w:hAnsi="PT Astra Serif"/>
                <w:snapToGrid w:val="0"/>
                <w:color w:val="000099"/>
                <w:sz w:val="24"/>
                <w:lang w:val="ru-RU"/>
              </w:rPr>
              <w:lastRenderedPageBreak/>
              <w:t>1</w:t>
            </w:r>
            <w:r w:rsidR="005E6910">
              <w:rPr>
                <w:rFonts w:ascii="PT Astra Serif" w:hAnsi="PT Astra Serif"/>
                <w:snapToGrid w:val="0"/>
                <w:color w:val="000099"/>
                <w:sz w:val="24"/>
                <w:lang w:val="ru-RU"/>
              </w:rPr>
              <w:t>47</w:t>
            </w:r>
            <w:r w:rsidR="00EA4B0D" w:rsidRPr="003E399A">
              <w:rPr>
                <w:rFonts w:ascii="PT Astra Serif" w:hAnsi="PT Astra Serif"/>
                <w:snapToGrid w:val="0"/>
                <w:color w:val="000099"/>
                <w:sz w:val="24"/>
                <w:lang w:val="ru-RU"/>
              </w:rPr>
              <w:t xml:space="preserve"> </w:t>
            </w:r>
            <w:r w:rsidR="005E6910">
              <w:rPr>
                <w:rFonts w:ascii="PT Astra Serif" w:hAnsi="PT Astra Serif"/>
                <w:snapToGrid w:val="0"/>
                <w:color w:val="000099"/>
                <w:sz w:val="24"/>
                <w:lang w:val="ru-RU"/>
              </w:rPr>
              <w:t>354</w:t>
            </w:r>
            <w:r w:rsidR="00EA4B0D" w:rsidRPr="00113F5D">
              <w:rPr>
                <w:rFonts w:ascii="PT Astra Serif" w:hAnsi="PT Astra Serif"/>
                <w:snapToGrid w:val="0"/>
                <w:color w:val="000099"/>
                <w:sz w:val="24"/>
                <w:lang w:val="ru-RU"/>
              </w:rPr>
              <w:t xml:space="preserve"> (</w:t>
            </w:r>
            <w:r w:rsidR="00B4143E">
              <w:rPr>
                <w:rFonts w:ascii="PT Astra Serif" w:hAnsi="PT Astra Serif"/>
                <w:snapToGrid w:val="0"/>
                <w:color w:val="000099"/>
                <w:sz w:val="24"/>
                <w:lang w:val="ru-RU"/>
              </w:rPr>
              <w:t xml:space="preserve">сто </w:t>
            </w:r>
            <w:r w:rsidR="005E6910">
              <w:rPr>
                <w:rFonts w:ascii="PT Astra Serif" w:hAnsi="PT Astra Serif"/>
                <w:snapToGrid w:val="0"/>
                <w:color w:val="000099"/>
                <w:sz w:val="24"/>
                <w:lang w:val="ru-RU"/>
              </w:rPr>
              <w:t xml:space="preserve">сорок семь тысяч триста </w:t>
            </w:r>
            <w:r w:rsidR="00B4143E">
              <w:rPr>
                <w:rFonts w:ascii="PT Astra Serif" w:hAnsi="PT Astra Serif"/>
                <w:snapToGrid w:val="0"/>
                <w:color w:val="000099"/>
                <w:sz w:val="24"/>
                <w:lang w:val="ru-RU"/>
              </w:rPr>
              <w:t xml:space="preserve">пятьдесят </w:t>
            </w:r>
            <w:r w:rsidR="005E6910">
              <w:rPr>
                <w:rFonts w:ascii="PT Astra Serif" w:hAnsi="PT Astra Serif"/>
                <w:snapToGrid w:val="0"/>
                <w:color w:val="000099"/>
                <w:sz w:val="24"/>
                <w:lang w:val="ru-RU"/>
              </w:rPr>
              <w:t>четыре</w:t>
            </w:r>
            <w:r w:rsidR="00EA4B0D">
              <w:rPr>
                <w:rFonts w:ascii="PT Astra Serif" w:hAnsi="PT Astra Serif"/>
                <w:snapToGrid w:val="0"/>
                <w:color w:val="000099"/>
                <w:sz w:val="24"/>
                <w:lang w:val="ru-RU"/>
              </w:rPr>
              <w:t xml:space="preserve">) </w:t>
            </w:r>
            <w:r w:rsidR="00EA4B0D">
              <w:rPr>
                <w:rFonts w:ascii="PT Astra Serif" w:hAnsi="PT Astra Serif"/>
                <w:snapToGrid w:val="0"/>
                <w:color w:val="000099"/>
                <w:sz w:val="24"/>
                <w:lang w:val="ru-RU"/>
              </w:rPr>
              <w:lastRenderedPageBreak/>
              <w:t>рубл</w:t>
            </w:r>
            <w:r w:rsidR="005E6910">
              <w:rPr>
                <w:rFonts w:ascii="PT Astra Serif" w:hAnsi="PT Astra Serif"/>
                <w:snapToGrid w:val="0"/>
                <w:color w:val="000099"/>
                <w:sz w:val="24"/>
                <w:lang w:val="ru-RU"/>
              </w:rPr>
              <w:t>я</w:t>
            </w:r>
            <w:r w:rsidR="00EA4B0D">
              <w:rPr>
                <w:rFonts w:ascii="PT Astra Serif" w:hAnsi="PT Astra Serif"/>
                <w:snapToGrid w:val="0"/>
                <w:color w:val="000099"/>
                <w:sz w:val="24"/>
                <w:lang w:val="ru-RU"/>
              </w:rPr>
              <w:t xml:space="preserve"> 00 коп</w:t>
            </w:r>
          </w:p>
        </w:tc>
      </w:tr>
      <w:tr w:rsidR="00EA4B0D" w:rsidRPr="00EB6997"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79A0EA50" w:rsidR="00EA4B0D" w:rsidRPr="00291651"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EA4B0D" w:rsidRPr="000F4306" w:rsidRDefault="00EA4B0D" w:rsidP="00EA4B0D">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EA4B0D" w:rsidRPr="000F4306" w:rsidRDefault="00EA4B0D" w:rsidP="00EA4B0D">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EA4B0D"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0793EAE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EA4B0D" w:rsidRPr="000F4306" w:rsidRDefault="00EA4B0D" w:rsidP="00EA4B0D">
            <w:pPr>
              <w:rPr>
                <w:rFonts w:ascii="PT Astra Serif" w:hAnsi="PT Astra Serif"/>
                <w:color w:val="000000"/>
                <w:sz w:val="24"/>
                <w:szCs w:val="24"/>
                <w:lang w:val="ru-RU"/>
              </w:rPr>
            </w:pPr>
            <w:r w:rsidRPr="007D1868">
              <w:rPr>
                <w:rFonts w:ascii="PT Astra Serif" w:hAnsi="PT Astra Serif"/>
                <w:sz w:val="24"/>
                <w:szCs w:val="26"/>
                <w:lang w:val="ru-RU" w:eastAsia="ru-RU"/>
              </w:rPr>
              <w:t>российский рубль</w:t>
            </w:r>
          </w:p>
        </w:tc>
      </w:tr>
      <w:tr w:rsidR="00EA4B0D"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407EA11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EA4B0D" w:rsidRPr="000F4306" w:rsidRDefault="00EA4B0D" w:rsidP="00EA4B0D">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EA4B0D" w:rsidRPr="00EB6997"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385B5DB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7682E0D"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B7094F">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EA4B0D" w:rsidRPr="000F4306" w:rsidRDefault="00EA4B0D" w:rsidP="00EA4B0D">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EA4B0D" w:rsidRPr="000F4306" w:rsidRDefault="00EA4B0D" w:rsidP="00EA4B0D">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5) отсутствие у участника закупки – физического лица либо у </w:t>
            </w:r>
            <w:r w:rsidRPr="000F4306">
              <w:rPr>
                <w:rFonts w:ascii="PT Astra Serif" w:hAnsi="PT Astra Serif"/>
                <w:color w:val="000000"/>
                <w:sz w:val="24"/>
                <w:szCs w:val="24"/>
                <w:lang w:val="ru-RU"/>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w:t>
            </w:r>
            <w:r w:rsidRPr="000F4306">
              <w:rPr>
                <w:rFonts w:ascii="PT Astra Serif" w:hAnsi="PT Astra Serif"/>
                <w:color w:val="000000"/>
                <w:sz w:val="24"/>
                <w:szCs w:val="24"/>
                <w:lang w:val="ru-RU"/>
              </w:rPr>
              <w:lastRenderedPageBreak/>
              <w:t xml:space="preserve">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EA4B0D"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263F638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EA4B0D" w:rsidRPr="00DE2695" w:rsidRDefault="00EA4B0D" w:rsidP="00EA4B0D">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EA4B0D" w:rsidRPr="000F4306" w:rsidRDefault="00EA4B0D" w:rsidP="00EA4B0D">
            <w:pPr>
              <w:rPr>
                <w:rFonts w:ascii="PT Astra Serif" w:hAnsi="PT Astra Serif"/>
                <w:i/>
                <w:sz w:val="24"/>
                <w:szCs w:val="24"/>
                <w:lang w:val="ru-RU"/>
              </w:rPr>
            </w:pPr>
          </w:p>
        </w:tc>
      </w:tr>
      <w:tr w:rsidR="00EA4B0D" w:rsidRPr="00EB6997"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7F544F14"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734B8915" w:rsidR="00EA4B0D" w:rsidRPr="000F4306" w:rsidRDefault="00EA4B0D" w:rsidP="00EA4B0D">
            <w:pPr>
              <w:rPr>
                <w:rFonts w:ascii="PT Astra Serif" w:hAnsi="PT Astra Serif"/>
                <w:i/>
                <w:sz w:val="24"/>
                <w:szCs w:val="24"/>
                <w:lang w:val="ru-RU"/>
              </w:rPr>
            </w:pPr>
            <w:r w:rsidRPr="00EA4B0D">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EA4B0D" w:rsidRPr="00EB6997"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76B829A6"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325A08B1" w:rsidR="00EA4B0D" w:rsidRPr="000F4306" w:rsidRDefault="00B7094F" w:rsidP="00EA4B0D">
            <w:pPr>
              <w:spacing w:before="0" w:beforeAutospacing="0" w:after="0" w:afterAutospacing="0"/>
              <w:jc w:val="both"/>
              <w:rPr>
                <w:rFonts w:ascii="PT Astra Serif" w:hAnsi="PT Astra Serif"/>
                <w:color w:val="000000"/>
                <w:sz w:val="24"/>
                <w:szCs w:val="24"/>
                <w:lang w:val="ru-RU"/>
              </w:rPr>
            </w:pPr>
            <w:r w:rsidRPr="00B7094F">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A4B0D" w:rsidRPr="00EB6997"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581D1F49"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EA4B0D" w:rsidRPr="00044E24" w:rsidRDefault="00EA4B0D" w:rsidP="00EA4B0D">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EA4B0D" w:rsidRPr="005E6780"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4A3EF6CF"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305EE47D" w:rsidR="00EA4B0D" w:rsidRPr="00DE2695" w:rsidRDefault="005E6910" w:rsidP="00EA4B0D">
            <w:pPr>
              <w:rPr>
                <w:rFonts w:ascii="PT Astra Serif" w:hAnsi="PT Astra Serif"/>
                <w:color w:val="000000"/>
                <w:sz w:val="24"/>
                <w:szCs w:val="24"/>
                <w:lang w:val="ru-RU"/>
              </w:rPr>
            </w:pPr>
            <w:r>
              <w:rPr>
                <w:rFonts w:ascii="PT Astra Serif" w:hAnsi="PT Astra Serif"/>
                <w:color w:val="000099"/>
                <w:sz w:val="24"/>
                <w:lang w:val="ru-RU"/>
              </w:rPr>
              <w:t>Не установлено</w:t>
            </w:r>
          </w:p>
        </w:tc>
      </w:tr>
      <w:tr w:rsidR="00EA4B0D"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F8FAA0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w:t>
            </w:r>
            <w:r w:rsidRPr="000F4306">
              <w:rPr>
                <w:rFonts w:ascii="PT Astra Serif" w:hAnsi="PT Astra Serif"/>
                <w:color w:val="000000"/>
                <w:sz w:val="24"/>
                <w:szCs w:val="24"/>
                <w:lang w:val="ru-RU"/>
              </w:rPr>
              <w:lastRenderedPageBreak/>
              <w:t>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EA4B0D" w:rsidRPr="00DE2695" w:rsidRDefault="00EA4B0D" w:rsidP="00EA4B0D">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EA4B0D" w:rsidRPr="005E6780"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4376B658"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15E5E9DB" w:rsidR="007158D9" w:rsidRPr="007158D9" w:rsidRDefault="005E6910" w:rsidP="007158D9">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lang w:val="ru-RU"/>
              </w:rPr>
              <w:t>Не установлено</w:t>
            </w:r>
          </w:p>
        </w:tc>
      </w:tr>
      <w:tr w:rsidR="00EA4B0D" w:rsidRPr="00EB6997"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37EBBD7A"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9D334DC" w:rsidR="00EA4B0D" w:rsidRPr="00E95031" w:rsidRDefault="00EA4B0D" w:rsidP="00EA4B0D">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4143E">
              <w:rPr>
                <w:rFonts w:ascii="PT Astra Serif" w:hAnsi="PT Astra Serif"/>
                <w:color w:val="000099"/>
                <w:sz w:val="24"/>
                <w:szCs w:val="24"/>
                <w:lang w:val="ru-RU"/>
              </w:rPr>
              <w:t>1</w:t>
            </w:r>
            <w:r w:rsidR="00ED66A2">
              <w:rPr>
                <w:rFonts w:ascii="PT Astra Serif" w:hAnsi="PT Astra Serif"/>
                <w:color w:val="000099"/>
                <w:sz w:val="24"/>
                <w:szCs w:val="24"/>
                <w:lang w:val="ru-RU"/>
              </w:rPr>
              <w:t xml:space="preserve"> </w:t>
            </w:r>
            <w:r w:rsidR="005E6910">
              <w:rPr>
                <w:rFonts w:ascii="PT Astra Serif" w:hAnsi="PT Astra Serif"/>
                <w:color w:val="000099"/>
                <w:sz w:val="24"/>
                <w:szCs w:val="24"/>
                <w:lang w:val="ru-RU"/>
              </w:rPr>
              <w:t>473</w:t>
            </w:r>
            <w:r w:rsidRPr="003E399A">
              <w:rPr>
                <w:rFonts w:ascii="PT Astra Serif" w:hAnsi="PT Astra Serif"/>
                <w:color w:val="000099"/>
                <w:sz w:val="24"/>
                <w:szCs w:val="24"/>
                <w:lang w:val="ru-RU"/>
              </w:rPr>
              <w:t xml:space="preserve"> (</w:t>
            </w:r>
            <w:r w:rsidR="00B4143E">
              <w:rPr>
                <w:rFonts w:ascii="PT Astra Serif" w:hAnsi="PT Astra Serif"/>
                <w:color w:val="000099"/>
                <w:sz w:val="24"/>
                <w:szCs w:val="24"/>
                <w:lang w:val="ru-RU"/>
              </w:rPr>
              <w:t>одна</w:t>
            </w:r>
            <w:r w:rsidR="00ED66A2">
              <w:rPr>
                <w:rFonts w:ascii="PT Astra Serif" w:hAnsi="PT Astra Serif"/>
                <w:color w:val="000099"/>
                <w:sz w:val="24"/>
                <w:szCs w:val="24"/>
                <w:lang w:val="ru-RU"/>
              </w:rPr>
              <w:t xml:space="preserve"> тысяч</w:t>
            </w:r>
            <w:r w:rsidR="00B4143E">
              <w:rPr>
                <w:rFonts w:ascii="PT Astra Serif" w:hAnsi="PT Astra Serif"/>
                <w:color w:val="000099"/>
                <w:sz w:val="24"/>
                <w:szCs w:val="24"/>
                <w:lang w:val="ru-RU"/>
              </w:rPr>
              <w:t>а</w:t>
            </w:r>
            <w:r w:rsidR="00ED66A2">
              <w:rPr>
                <w:rFonts w:ascii="PT Astra Serif" w:hAnsi="PT Astra Serif"/>
                <w:color w:val="000099"/>
                <w:sz w:val="24"/>
                <w:szCs w:val="24"/>
                <w:lang w:val="ru-RU"/>
              </w:rPr>
              <w:t xml:space="preserve"> </w:t>
            </w:r>
            <w:r w:rsidR="00FE22B1">
              <w:rPr>
                <w:rFonts w:ascii="PT Astra Serif" w:hAnsi="PT Astra Serif"/>
                <w:color w:val="000099"/>
                <w:sz w:val="24"/>
                <w:szCs w:val="24"/>
                <w:lang w:val="ru-RU"/>
              </w:rPr>
              <w:t>четыреста семьдесят три</w:t>
            </w:r>
            <w:r w:rsidRPr="003E399A">
              <w:rPr>
                <w:rFonts w:ascii="PT Astra Serif" w:hAnsi="PT Astra Serif"/>
                <w:color w:val="000099"/>
                <w:sz w:val="24"/>
                <w:szCs w:val="24"/>
                <w:lang w:val="ru-RU"/>
              </w:rPr>
              <w:t>) рубл</w:t>
            </w:r>
            <w:r w:rsidR="00FE22B1">
              <w:rPr>
                <w:rFonts w:ascii="PT Astra Serif" w:hAnsi="PT Astra Serif"/>
                <w:color w:val="000099"/>
                <w:sz w:val="24"/>
                <w:szCs w:val="24"/>
                <w:lang w:val="ru-RU"/>
              </w:rPr>
              <w:t xml:space="preserve">я </w:t>
            </w:r>
            <w:r w:rsidR="005E6910">
              <w:rPr>
                <w:rFonts w:ascii="PT Astra Serif" w:hAnsi="PT Astra Serif"/>
                <w:color w:val="000099"/>
                <w:sz w:val="24"/>
                <w:szCs w:val="24"/>
                <w:lang w:val="ru-RU"/>
              </w:rPr>
              <w:t>54</w:t>
            </w:r>
            <w:r w:rsidRPr="003E399A">
              <w:rPr>
                <w:rFonts w:ascii="PT Astra Serif" w:hAnsi="PT Astra Serif"/>
                <w:color w:val="000099"/>
                <w:sz w:val="24"/>
                <w:szCs w:val="24"/>
                <w:lang w:val="ru-RU"/>
              </w:rPr>
              <w:t xml:space="preserve"> копе</w:t>
            </w:r>
            <w:r w:rsidR="00FE22B1">
              <w:rPr>
                <w:rFonts w:ascii="PT Astra Serif" w:hAnsi="PT Astra Serif"/>
                <w:color w:val="000099"/>
                <w:sz w:val="24"/>
                <w:szCs w:val="24"/>
                <w:lang w:val="ru-RU"/>
              </w:rPr>
              <w:t>й</w:t>
            </w:r>
            <w:r w:rsidRPr="003E399A">
              <w:rPr>
                <w:rFonts w:ascii="PT Astra Serif" w:hAnsi="PT Astra Serif"/>
                <w:color w:val="000099"/>
                <w:sz w:val="24"/>
                <w:szCs w:val="24"/>
                <w:lang w:val="ru-RU"/>
              </w:rPr>
              <w:t>к</w:t>
            </w:r>
            <w:r w:rsidR="00FE22B1">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EA4B0D" w:rsidRPr="00E95031" w:rsidRDefault="00EA4B0D" w:rsidP="00EA4B0D">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EA4B0D" w:rsidRPr="00EB6997"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063D618B"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68AE9"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573BFD1C"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336A0DAA"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69AFB38"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w:t>
            </w:r>
            <w:r w:rsidRPr="002D11F8">
              <w:rPr>
                <w:rFonts w:ascii="PT Astra Serif" w:hAnsi="PT Astra Serif"/>
                <w:color w:val="000000"/>
                <w:sz w:val="24"/>
                <w:szCs w:val="24"/>
                <w:lang w:val="ru-RU"/>
              </w:rPr>
              <w:lastRenderedPageBreak/>
              <w:t xml:space="preserve">гарантии должен составлять не менее месяца с даты окончания срока подачи заявок. </w:t>
            </w:r>
          </w:p>
          <w:p w14:paraId="02A43943"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71356F5E" w:rsidR="00EA4B0D" w:rsidRPr="000F4306"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EA4B0D" w:rsidRPr="00EB6997"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0369B67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EA4B0D"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7FE749C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EA4B0D"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6B70D4F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BE67E99"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FE22B1">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Югорска (Администрация города Югорска, 04873030170), ИНН 8622002368, КПП 862201001.</w:t>
            </w:r>
          </w:p>
          <w:p w14:paraId="112F3313" w14:textId="2C2B460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EA4B0D" w:rsidRPr="00EB6997"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5A8FB7F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47AC103A" w:rsidR="00EA4B0D" w:rsidRPr="00FC3800" w:rsidRDefault="00EA4B0D" w:rsidP="00EA4B0D">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FE22B1">
              <w:rPr>
                <w:rFonts w:ascii="PT Astra Serif" w:hAnsi="PT Astra Serif"/>
                <w:color w:val="000099"/>
                <w:sz w:val="24"/>
                <w:lang w:val="ru-RU" w:eastAsia="ru-RU"/>
              </w:rPr>
              <w:t>7 367 (семь тысяч триста шестьдесят семь) рублей 70 копеек (</w:t>
            </w:r>
            <w:r w:rsidRPr="00FC3800">
              <w:rPr>
                <w:rFonts w:ascii="PT Astra Serif" w:hAnsi="PT Astra Serif"/>
                <w:color w:val="000099"/>
                <w:sz w:val="24"/>
                <w:lang w:val="ru-RU" w:eastAsia="ru-RU"/>
              </w:rPr>
              <w:t xml:space="preserve">5% от </w:t>
            </w:r>
            <w:r w:rsidR="00FE22B1">
              <w:rPr>
                <w:rFonts w:ascii="PT Astra Serif" w:hAnsi="PT Astra Serif"/>
                <w:color w:val="000099"/>
                <w:sz w:val="24"/>
                <w:lang w:val="ru-RU" w:eastAsia="ru-RU"/>
              </w:rPr>
              <w:t>начальной (максимальной) цены контракта</w:t>
            </w:r>
            <w:r w:rsidRPr="00FC3800">
              <w:rPr>
                <w:rFonts w:ascii="PT Astra Serif" w:hAnsi="PT Astra Serif"/>
                <w:color w:val="000099"/>
                <w:sz w:val="24"/>
                <w:lang w:val="ru-RU" w:eastAsia="ru-RU"/>
              </w:rPr>
              <w:t>.</w:t>
            </w:r>
          </w:p>
          <w:p w14:paraId="4FA57093" w14:textId="77777777" w:rsidR="00EA4B0D"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0D1ED986" w:rsidR="004F5B1D" w:rsidRPr="000F4306" w:rsidRDefault="00AD5B21" w:rsidP="00FE22B1">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lastRenderedPageBreak/>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4F5B1D">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sidR="004F5B1D">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B22A04">
              <w:rPr>
                <w:rFonts w:ascii="PT Astra Serif" w:hAnsi="PT Astra Serif"/>
                <w:color w:val="000099"/>
                <w:sz w:val="24"/>
                <w:szCs w:val="24"/>
                <w:lang w:val="ru-RU"/>
              </w:rPr>
              <w:t>1</w:t>
            </w:r>
            <w:r w:rsidR="00FE22B1">
              <w:rPr>
                <w:rFonts w:ascii="PT Astra Serif" w:hAnsi="PT Astra Serif"/>
                <w:color w:val="000099"/>
                <w:sz w:val="24"/>
                <w:szCs w:val="24"/>
                <w:lang w:val="ru-RU"/>
              </w:rPr>
              <w:t>4</w:t>
            </w:r>
            <w:r w:rsidRPr="00D062DA">
              <w:rPr>
                <w:rFonts w:ascii="PT Astra Serif" w:hAnsi="PT Astra Serif"/>
                <w:color w:val="000099"/>
                <w:sz w:val="24"/>
                <w:szCs w:val="24"/>
                <w:lang w:val="ru-RU"/>
              </w:rPr>
              <w:t xml:space="preserve"> </w:t>
            </w:r>
            <w:r w:rsidR="00FE22B1">
              <w:rPr>
                <w:rFonts w:ascii="PT Astra Serif" w:hAnsi="PT Astra Serif"/>
                <w:color w:val="000099"/>
                <w:sz w:val="24"/>
                <w:szCs w:val="24"/>
                <w:lang w:val="ru-RU"/>
              </w:rPr>
              <w:t>735</w:t>
            </w:r>
            <w:r w:rsidRPr="00D062DA">
              <w:rPr>
                <w:rFonts w:ascii="PT Astra Serif" w:hAnsi="PT Astra Serif"/>
                <w:color w:val="000099"/>
                <w:sz w:val="24"/>
                <w:szCs w:val="24"/>
                <w:lang w:val="ru-RU"/>
              </w:rPr>
              <w:t xml:space="preserve"> (</w:t>
            </w:r>
            <w:r w:rsidR="00FE22B1">
              <w:rPr>
                <w:rFonts w:ascii="PT Astra Serif" w:hAnsi="PT Astra Serif"/>
                <w:color w:val="000099"/>
                <w:sz w:val="24"/>
                <w:szCs w:val="24"/>
                <w:lang w:val="ru-RU"/>
              </w:rPr>
              <w:t>четырнадцать</w:t>
            </w:r>
            <w:r w:rsidR="00B22A0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B22A04">
              <w:rPr>
                <w:rFonts w:ascii="PT Astra Serif" w:hAnsi="PT Astra Serif"/>
                <w:color w:val="000099"/>
                <w:sz w:val="24"/>
                <w:szCs w:val="24"/>
                <w:lang w:val="ru-RU"/>
              </w:rPr>
              <w:t xml:space="preserve"> </w:t>
            </w:r>
            <w:r w:rsidR="00FE22B1">
              <w:rPr>
                <w:rFonts w:ascii="PT Astra Serif" w:hAnsi="PT Astra Serif"/>
                <w:color w:val="000099"/>
                <w:sz w:val="24"/>
                <w:szCs w:val="24"/>
                <w:lang w:val="ru-RU"/>
              </w:rPr>
              <w:t>семьсот тридцать пять</w:t>
            </w:r>
            <w:r w:rsidRPr="00D062DA">
              <w:rPr>
                <w:rFonts w:ascii="PT Astra Serif" w:hAnsi="PT Astra Serif"/>
                <w:color w:val="000099"/>
                <w:sz w:val="24"/>
                <w:szCs w:val="24"/>
                <w:lang w:val="ru-RU"/>
              </w:rPr>
              <w:t xml:space="preserve">) рублей </w:t>
            </w:r>
            <w:r w:rsidR="00FE22B1">
              <w:rPr>
                <w:rFonts w:ascii="PT Astra Serif" w:hAnsi="PT Astra Serif"/>
                <w:color w:val="000099"/>
                <w:sz w:val="24"/>
                <w:szCs w:val="24"/>
                <w:lang w:val="ru-RU"/>
              </w:rPr>
              <w:t>4</w:t>
            </w:r>
            <w:r w:rsidRPr="00D062DA">
              <w:rPr>
                <w:rFonts w:ascii="PT Astra Serif" w:hAnsi="PT Astra Serif"/>
                <w:color w:val="000099"/>
                <w:sz w:val="24"/>
                <w:szCs w:val="24"/>
                <w:lang w:val="ru-RU"/>
              </w:rPr>
              <w:t>0 коп</w:t>
            </w:r>
            <w:r w:rsidR="00D062DA">
              <w:rPr>
                <w:rFonts w:ascii="PT Astra Serif" w:hAnsi="PT Astra Serif"/>
                <w:color w:val="000099"/>
                <w:sz w:val="24"/>
                <w:szCs w:val="24"/>
                <w:lang w:val="ru-RU"/>
              </w:rPr>
              <w:t>еек</w:t>
            </w:r>
            <w:r w:rsidR="00FE22B1">
              <w:rPr>
                <w:rFonts w:ascii="PT Astra Serif" w:hAnsi="PT Astra Serif"/>
                <w:color w:val="000099"/>
                <w:sz w:val="24"/>
                <w:szCs w:val="24"/>
                <w:lang w:val="ru-RU"/>
              </w:rPr>
              <w:t>.</w:t>
            </w:r>
          </w:p>
        </w:tc>
      </w:tr>
      <w:tr w:rsidR="00EA4B0D" w:rsidRPr="00F753AF"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05E782C7"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5DEA7DF3" w:rsidR="00EA4B0D" w:rsidRPr="000F4306" w:rsidRDefault="00EA4B0D" w:rsidP="00EA4B0D">
            <w:pPr>
              <w:rPr>
                <w:rFonts w:ascii="PT Astra Serif" w:hAnsi="PT Astra Serif"/>
                <w:color w:val="000000"/>
                <w:sz w:val="24"/>
                <w:szCs w:val="24"/>
                <w:lang w:val="ru-RU"/>
              </w:rPr>
            </w:pPr>
            <w:r w:rsidRPr="00F753AF">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5D2304B2" w14:textId="4A9DD651" w:rsidR="008A4681" w:rsidRPr="004D3B17"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Pr="003E399A">
              <w:rPr>
                <w:rFonts w:ascii="PT Astra Serif" w:hAnsi="PT Astra Serif"/>
                <w:color w:val="000099"/>
                <w:sz w:val="24"/>
                <w:szCs w:val="24"/>
                <w:lang w:val="ru-RU"/>
              </w:rPr>
              <w:t xml:space="preserve">поставку </w:t>
            </w:r>
            <w:r w:rsidR="00FE22B1" w:rsidRPr="00FE22B1">
              <w:rPr>
                <w:rFonts w:ascii="PT Astra Serif" w:hAnsi="PT Astra Serif"/>
                <w:color w:val="000099"/>
                <w:sz w:val="24"/>
                <w:szCs w:val="24"/>
                <w:lang w:val="ru-RU"/>
              </w:rPr>
              <w:t>средств криптографической защиты информации</w:t>
            </w:r>
            <w:r w:rsidRPr="00044E24">
              <w:rPr>
                <w:rFonts w:ascii="PT Astra Serif" w:hAnsi="PT Astra Serif"/>
                <w:color w:val="000099"/>
                <w:sz w:val="24"/>
                <w:szCs w:val="24"/>
                <w:lang w:val="ru-RU"/>
              </w:rPr>
              <w:t>».</w:t>
            </w:r>
          </w:p>
          <w:p w14:paraId="198D43D5" w14:textId="00A8FFA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540C9655"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01F02488"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4B62D3A"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0BF1F047"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5B9B950E"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2) осуществления закупки услуги по предоставлению кредита; </w:t>
            </w:r>
          </w:p>
          <w:p w14:paraId="7AB21BF0"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1DE6CEE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Участник закупки, с которым заключается контракт по </w:t>
            </w:r>
            <w:r w:rsidRPr="004F24DD">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A4B0D"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563C0D2D"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4AFC7EA9" w:rsidR="00EA4B0D" w:rsidRPr="000F4306" w:rsidRDefault="00B7094F" w:rsidP="00EA4B0D">
            <w:pPr>
              <w:rPr>
                <w:rFonts w:ascii="PT Astra Serif" w:hAnsi="PT Astra Serif"/>
                <w:sz w:val="24"/>
                <w:szCs w:val="24"/>
                <w:lang w:val="ru-RU"/>
              </w:rPr>
            </w:pPr>
            <w:r w:rsidRPr="00B7094F">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184D86EE"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EB6997"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76708FEE"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A4B0D" w:rsidRPr="00EB6997"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7EAFCCBE"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и время окончания срока подачи заявок на участие в </w:t>
            </w:r>
            <w:r w:rsidRPr="000F4306">
              <w:rPr>
                <w:rFonts w:ascii="PT Astra Serif" w:hAnsi="PT Astra Serif"/>
                <w:color w:val="000000"/>
                <w:sz w:val="24"/>
                <w:szCs w:val="24"/>
                <w:lang w:val="ru-RU"/>
              </w:rPr>
              <w:lastRenderedPageBreak/>
              <w:t>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08CCD" w14:textId="77777777" w:rsidR="00C173D4"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 xml:space="preserve">до 10 часов 00 минут </w:t>
            </w:r>
          </w:p>
          <w:p w14:paraId="21D1C21D" w14:textId="60AD6946"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t>«</w:t>
            </w:r>
            <w:r w:rsidR="00EB6997">
              <w:rPr>
                <w:rFonts w:ascii="PT Astra Serif" w:hAnsi="PT Astra Serif"/>
                <w:color w:val="000000"/>
                <w:sz w:val="24"/>
                <w:szCs w:val="24"/>
                <w:lang w:val="ru-RU"/>
              </w:rPr>
              <w:t>26</w:t>
            </w:r>
            <w:r w:rsidRPr="000F4306">
              <w:rPr>
                <w:rFonts w:ascii="PT Astra Serif" w:hAnsi="PT Astra Serif"/>
                <w:color w:val="000000"/>
                <w:sz w:val="24"/>
                <w:szCs w:val="24"/>
                <w:lang w:val="ru-RU"/>
              </w:rPr>
              <w:t>»</w:t>
            </w:r>
            <w:r w:rsidR="00EB6997">
              <w:rPr>
                <w:rFonts w:ascii="PT Astra Serif" w:hAnsi="PT Astra Serif"/>
                <w:color w:val="000000"/>
                <w:sz w:val="24"/>
                <w:szCs w:val="24"/>
                <w:lang w:val="ru-RU"/>
              </w:rPr>
              <w:t xml:space="preserve">  </w:t>
            </w:r>
            <w:r w:rsidR="00EB6997" w:rsidRPr="00EB6997">
              <w:rPr>
                <w:color w:val="000000"/>
                <w:lang w:val="ru-RU"/>
              </w:rPr>
              <w:t xml:space="preserve">августа   </w:t>
            </w:r>
            <w:r w:rsidRPr="000F4306">
              <w:rPr>
                <w:rFonts w:ascii="PT Astra Serif" w:hAnsi="PT Astra Serif"/>
                <w:color w:val="000000"/>
                <w:sz w:val="24"/>
                <w:szCs w:val="24"/>
                <w:lang w:val="ru-RU"/>
              </w:rPr>
              <w:t>2022 г.</w:t>
            </w:r>
          </w:p>
          <w:p w14:paraId="07108916" w14:textId="77777777"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p>
        </w:tc>
      </w:tr>
      <w:tr w:rsidR="00EA4B0D"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152A5621"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2DA4139"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EB6997">
              <w:rPr>
                <w:rFonts w:ascii="PT Astra Serif" w:hAnsi="PT Astra Serif"/>
                <w:color w:val="000000"/>
                <w:sz w:val="24"/>
                <w:szCs w:val="24"/>
                <w:lang w:val="ru-RU"/>
              </w:rPr>
              <w:t>26</w:t>
            </w:r>
            <w:r w:rsidRPr="000F4306">
              <w:rPr>
                <w:rFonts w:ascii="PT Astra Serif" w:hAnsi="PT Astra Serif"/>
                <w:color w:val="000000"/>
                <w:sz w:val="24"/>
                <w:szCs w:val="24"/>
                <w:lang w:val="ru-RU"/>
              </w:rPr>
              <w:t>»</w:t>
            </w:r>
            <w:r w:rsidR="00EB6997">
              <w:rPr>
                <w:rFonts w:ascii="PT Astra Serif" w:hAnsi="PT Astra Serif"/>
                <w:color w:val="000000"/>
                <w:sz w:val="24"/>
                <w:szCs w:val="24"/>
                <w:lang w:val="ru-RU"/>
              </w:rPr>
              <w:t xml:space="preserve"> </w:t>
            </w:r>
            <w:proofErr w:type="spellStart"/>
            <w:r w:rsidR="00EB6997">
              <w:rPr>
                <w:color w:val="000000"/>
              </w:rPr>
              <w:t>августа</w:t>
            </w:r>
            <w:proofErr w:type="spellEnd"/>
            <w:r w:rsidR="00EB6997">
              <w:rPr>
                <w:color w:val="000000"/>
              </w:rPr>
              <w:t xml:space="preserve">   </w:t>
            </w:r>
            <w:r w:rsidRPr="000F4306">
              <w:rPr>
                <w:rFonts w:ascii="PT Astra Serif" w:hAnsi="PT Astra Serif"/>
                <w:color w:val="000000"/>
                <w:sz w:val="24"/>
                <w:szCs w:val="24"/>
                <w:lang w:val="ru-RU"/>
              </w:rPr>
              <w:t>2022 г.</w:t>
            </w:r>
          </w:p>
          <w:p w14:paraId="245F6A47" w14:textId="77777777" w:rsidR="00EA4B0D" w:rsidRPr="000F4306" w:rsidRDefault="00EA4B0D" w:rsidP="00EA4B0D">
            <w:pPr>
              <w:spacing w:beforeAutospacing="0" w:afterAutospacing="0"/>
              <w:ind w:left="75" w:right="75"/>
              <w:rPr>
                <w:rFonts w:ascii="PT Astra Serif" w:hAnsi="PT Astra Serif"/>
                <w:i/>
                <w:color w:val="000000"/>
                <w:sz w:val="24"/>
                <w:szCs w:val="24"/>
                <w:lang w:val="ru-RU"/>
              </w:rPr>
            </w:pPr>
            <w:bookmarkStart w:id="0" w:name="_GoBack"/>
            <w:bookmarkEnd w:id="0"/>
          </w:p>
        </w:tc>
      </w:tr>
      <w:tr w:rsidR="00EA4B0D"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1B9E1CE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9E8CE42" w:rsidR="00EA4B0D" w:rsidRPr="000F4306" w:rsidRDefault="00EA4B0D" w:rsidP="00EB6997">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EB6997">
              <w:rPr>
                <w:rFonts w:ascii="PT Astra Serif" w:hAnsi="PT Astra Serif"/>
                <w:color w:val="000000"/>
                <w:sz w:val="24"/>
                <w:szCs w:val="24"/>
                <w:lang w:val="ru-RU"/>
              </w:rPr>
              <w:t>30</w:t>
            </w:r>
            <w:r w:rsidRPr="000F4306">
              <w:rPr>
                <w:rFonts w:ascii="PT Astra Serif" w:hAnsi="PT Astra Serif"/>
                <w:color w:val="000000"/>
                <w:sz w:val="24"/>
                <w:szCs w:val="24"/>
                <w:lang w:val="ru-RU"/>
              </w:rPr>
              <w:t>»</w:t>
            </w:r>
            <w:r w:rsidR="00EB6997">
              <w:rPr>
                <w:rFonts w:ascii="PT Astra Serif" w:hAnsi="PT Astra Serif"/>
                <w:color w:val="000000"/>
                <w:sz w:val="24"/>
                <w:szCs w:val="24"/>
                <w:lang w:val="ru-RU"/>
              </w:rPr>
              <w:t xml:space="preserve"> </w:t>
            </w:r>
            <w:proofErr w:type="spellStart"/>
            <w:r w:rsidR="00EB6997">
              <w:rPr>
                <w:color w:val="000000"/>
              </w:rPr>
              <w:t>августа</w:t>
            </w:r>
            <w:proofErr w:type="spellEnd"/>
            <w:r w:rsidR="00EB6997">
              <w:rPr>
                <w:color w:val="000000"/>
              </w:rPr>
              <w:t xml:space="preserve">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9703BF">
      <w:pPr>
        <w:spacing w:before="0" w:beforeAutospacing="0" w:after="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7DCEC62A" w14:textId="67690749" w:rsidR="009703BF" w:rsidRDefault="009703BF"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Pr>
          <w:rFonts w:ascii="PT Astra Serif" w:hAnsi="PT Astra Serif"/>
          <w:bCs/>
          <w:color w:val="000000"/>
          <w:sz w:val="24"/>
          <w:szCs w:val="24"/>
          <w:lang w:val="ru-RU"/>
        </w:rPr>
        <w:t>Описание объекта закупки</w:t>
      </w:r>
      <w:r w:rsidRPr="000F4306">
        <w:rPr>
          <w:rFonts w:ascii="PT Astra Serif" w:hAnsi="PT Astra Serif"/>
          <w:bCs/>
          <w:color w:val="000000"/>
          <w:sz w:val="24"/>
          <w:szCs w:val="24"/>
          <w:lang w:val="ru-RU"/>
        </w:rPr>
        <w:t>.</w:t>
      </w:r>
    </w:p>
    <w:p w14:paraId="56300C3B" w14:textId="22EE991C" w:rsidR="00A01BD5" w:rsidRPr="000F4306" w:rsidRDefault="00FF5263"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9703BF">
      <w:pPr>
        <w:spacing w:before="0" w:beforeAutospacing="0" w:after="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9703B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F753AF">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C3371" w14:textId="77777777" w:rsidR="007F0FE0" w:rsidRDefault="007F0FE0" w:rsidP="00F753AF">
      <w:pPr>
        <w:spacing w:before="0" w:after="0"/>
      </w:pPr>
      <w:r>
        <w:separator/>
      </w:r>
    </w:p>
  </w:endnote>
  <w:endnote w:type="continuationSeparator" w:id="0">
    <w:p w14:paraId="133CB8D1" w14:textId="77777777" w:rsidR="007F0FE0" w:rsidRDefault="007F0FE0" w:rsidP="00F75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435"/>
      <w:docPartObj>
        <w:docPartGallery w:val="Page Numbers (Bottom of Page)"/>
        <w:docPartUnique/>
      </w:docPartObj>
    </w:sdtPr>
    <w:sdtEndPr/>
    <w:sdtContent>
      <w:p w14:paraId="245287B1" w14:textId="32B6A15A" w:rsidR="00F753AF" w:rsidRDefault="00F753AF">
        <w:pPr>
          <w:pStyle w:val="ad"/>
          <w:jc w:val="center"/>
        </w:pPr>
        <w:r>
          <w:fldChar w:fldCharType="begin"/>
        </w:r>
        <w:r>
          <w:instrText>PAGE   \* MERGEFORMAT</w:instrText>
        </w:r>
        <w:r>
          <w:fldChar w:fldCharType="separate"/>
        </w:r>
        <w:r w:rsidR="00EB6997" w:rsidRPr="00EB6997">
          <w:rPr>
            <w:noProof/>
            <w:lang w:val="ru-RU"/>
          </w:rPr>
          <w:t>10</w:t>
        </w:r>
        <w:r>
          <w:fldChar w:fldCharType="end"/>
        </w:r>
      </w:p>
    </w:sdtContent>
  </w:sdt>
  <w:p w14:paraId="1B6688DA" w14:textId="77777777" w:rsidR="00F753AF" w:rsidRDefault="00F753A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621CA" w14:textId="77777777" w:rsidR="007F0FE0" w:rsidRDefault="007F0FE0" w:rsidP="00F753AF">
      <w:pPr>
        <w:spacing w:before="0" w:after="0"/>
      </w:pPr>
      <w:r>
        <w:separator/>
      </w:r>
    </w:p>
  </w:footnote>
  <w:footnote w:type="continuationSeparator" w:id="0">
    <w:p w14:paraId="1CFC43DF" w14:textId="77777777" w:rsidR="007F0FE0" w:rsidRDefault="007F0FE0" w:rsidP="00F753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645B9"/>
    <w:rsid w:val="000A263A"/>
    <w:rsid w:val="000C4397"/>
    <w:rsid w:val="000D494F"/>
    <w:rsid w:val="000E0082"/>
    <w:rsid w:val="000F4306"/>
    <w:rsid w:val="0010032D"/>
    <w:rsid w:val="00113F5D"/>
    <w:rsid w:val="001763F1"/>
    <w:rsid w:val="001B710F"/>
    <w:rsid w:val="001F4882"/>
    <w:rsid w:val="00207500"/>
    <w:rsid w:val="002360BD"/>
    <w:rsid w:val="00264A30"/>
    <w:rsid w:val="00291651"/>
    <w:rsid w:val="002922D0"/>
    <w:rsid w:val="002E2203"/>
    <w:rsid w:val="00362C24"/>
    <w:rsid w:val="003B1362"/>
    <w:rsid w:val="003E399A"/>
    <w:rsid w:val="00453EE6"/>
    <w:rsid w:val="004B421A"/>
    <w:rsid w:val="004D1919"/>
    <w:rsid w:val="004D3B17"/>
    <w:rsid w:val="004F24DD"/>
    <w:rsid w:val="004F5B1D"/>
    <w:rsid w:val="00542843"/>
    <w:rsid w:val="00546F17"/>
    <w:rsid w:val="00552A85"/>
    <w:rsid w:val="00552C61"/>
    <w:rsid w:val="00582167"/>
    <w:rsid w:val="005C7AE6"/>
    <w:rsid w:val="005E6780"/>
    <w:rsid w:val="005E6910"/>
    <w:rsid w:val="00603A9B"/>
    <w:rsid w:val="00616EE1"/>
    <w:rsid w:val="00666973"/>
    <w:rsid w:val="00672C15"/>
    <w:rsid w:val="00674976"/>
    <w:rsid w:val="006E1551"/>
    <w:rsid w:val="006E4761"/>
    <w:rsid w:val="007032EB"/>
    <w:rsid w:val="00713B32"/>
    <w:rsid w:val="007158D9"/>
    <w:rsid w:val="007376A5"/>
    <w:rsid w:val="0078082D"/>
    <w:rsid w:val="00794B86"/>
    <w:rsid w:val="007B3BB9"/>
    <w:rsid w:val="007C70E3"/>
    <w:rsid w:val="007D1868"/>
    <w:rsid w:val="007D3050"/>
    <w:rsid w:val="007F0FE0"/>
    <w:rsid w:val="00817C20"/>
    <w:rsid w:val="00835BB0"/>
    <w:rsid w:val="00842341"/>
    <w:rsid w:val="00843F57"/>
    <w:rsid w:val="00854351"/>
    <w:rsid w:val="008617FE"/>
    <w:rsid w:val="008768A8"/>
    <w:rsid w:val="00891339"/>
    <w:rsid w:val="00892726"/>
    <w:rsid w:val="008A4681"/>
    <w:rsid w:val="008A4CA7"/>
    <w:rsid w:val="009375F9"/>
    <w:rsid w:val="00943395"/>
    <w:rsid w:val="00952F24"/>
    <w:rsid w:val="009703BF"/>
    <w:rsid w:val="009B7BB3"/>
    <w:rsid w:val="009F4D0C"/>
    <w:rsid w:val="00A01BD5"/>
    <w:rsid w:val="00A04484"/>
    <w:rsid w:val="00A123AB"/>
    <w:rsid w:val="00A37C7E"/>
    <w:rsid w:val="00A9071F"/>
    <w:rsid w:val="00A9683A"/>
    <w:rsid w:val="00AA1DD2"/>
    <w:rsid w:val="00AD128A"/>
    <w:rsid w:val="00AD5B21"/>
    <w:rsid w:val="00AF53BC"/>
    <w:rsid w:val="00B04B73"/>
    <w:rsid w:val="00B22A04"/>
    <w:rsid w:val="00B23B80"/>
    <w:rsid w:val="00B267DC"/>
    <w:rsid w:val="00B27116"/>
    <w:rsid w:val="00B4143E"/>
    <w:rsid w:val="00B52267"/>
    <w:rsid w:val="00B5237A"/>
    <w:rsid w:val="00B57ADA"/>
    <w:rsid w:val="00B6291C"/>
    <w:rsid w:val="00B629FF"/>
    <w:rsid w:val="00B7094F"/>
    <w:rsid w:val="00B71E47"/>
    <w:rsid w:val="00B75396"/>
    <w:rsid w:val="00B85C76"/>
    <w:rsid w:val="00BA48CE"/>
    <w:rsid w:val="00C173D4"/>
    <w:rsid w:val="00C56EE2"/>
    <w:rsid w:val="00C63AD1"/>
    <w:rsid w:val="00CB6EB1"/>
    <w:rsid w:val="00CF3421"/>
    <w:rsid w:val="00D062DA"/>
    <w:rsid w:val="00D313EC"/>
    <w:rsid w:val="00D32527"/>
    <w:rsid w:val="00D57A90"/>
    <w:rsid w:val="00D65C2B"/>
    <w:rsid w:val="00DA54DA"/>
    <w:rsid w:val="00DE2695"/>
    <w:rsid w:val="00E1014D"/>
    <w:rsid w:val="00E44088"/>
    <w:rsid w:val="00E51D44"/>
    <w:rsid w:val="00E66EB5"/>
    <w:rsid w:val="00E95031"/>
    <w:rsid w:val="00EA3BF1"/>
    <w:rsid w:val="00EA4B0D"/>
    <w:rsid w:val="00EB6997"/>
    <w:rsid w:val="00EC4ECE"/>
    <w:rsid w:val="00ED237D"/>
    <w:rsid w:val="00ED4DF8"/>
    <w:rsid w:val="00ED66A2"/>
    <w:rsid w:val="00EE6714"/>
    <w:rsid w:val="00EF1D23"/>
    <w:rsid w:val="00F61A5C"/>
    <w:rsid w:val="00F753AF"/>
    <w:rsid w:val="00F86158"/>
    <w:rsid w:val="00F93EB1"/>
    <w:rsid w:val="00FA5C4A"/>
    <w:rsid w:val="00FC3800"/>
    <w:rsid w:val="00FC475A"/>
    <w:rsid w:val="00FE22B1"/>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C331B-D624-402C-B37A-D2B5A6E8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10</Pages>
  <Words>2868</Words>
  <Characters>16354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70</cp:revision>
  <cp:lastPrinted>2022-08-12T10:27:00Z</cp:lastPrinted>
  <dcterms:created xsi:type="dcterms:W3CDTF">2022-01-26T11:11:00Z</dcterms:created>
  <dcterms:modified xsi:type="dcterms:W3CDTF">2022-08-18T06:26:00Z</dcterms:modified>
</cp:coreProperties>
</file>