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72" w:rsidRPr="00D23772" w:rsidRDefault="00D23772" w:rsidP="00D2377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13970" t="5715" r="1397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772" w:rsidRDefault="00D23772" w:rsidP="00D23772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D23772" w:rsidRDefault="00D23772" w:rsidP="00D2377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5pt;margin-top:4.6pt;width:90.8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" strokecolor="white">
                <v:textbox style="mso-fit-shape-to-text:t">
                  <w:txbxContent>
                    <w:p w:rsidR="00D23772" w:rsidRDefault="00D23772" w:rsidP="00D23772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D23772" w:rsidRDefault="00D23772" w:rsidP="00D2377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88645" cy="7073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772" w:rsidRPr="00D23772" w:rsidRDefault="00D23772" w:rsidP="00D23772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D23772">
        <w:rPr>
          <w:rFonts w:ascii="Times New Roman" w:eastAsia="Calibri" w:hAnsi="Times New Roman" w:cs="Times New Roman"/>
          <w:sz w:val="32"/>
          <w:szCs w:val="32"/>
          <w:lang w:eastAsia="ar-SA"/>
        </w:rPr>
        <w:t>АДМИНИСТРАЦИЯ ГОРОДА ЮГОРСКА</w:t>
      </w:r>
    </w:p>
    <w:p w:rsidR="00D23772" w:rsidRPr="00D23772" w:rsidRDefault="00D23772" w:rsidP="00D2377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7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Ханты-Мансийского автономного округа – Югры </w:t>
      </w:r>
    </w:p>
    <w:p w:rsidR="00D23772" w:rsidRPr="00D23772" w:rsidRDefault="00D23772" w:rsidP="00D23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D23772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D23772" w:rsidRPr="00D23772" w:rsidRDefault="00D23772" w:rsidP="00D23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10 мая 2016 года                                                                                                                         № 973</w:t>
      </w:r>
    </w:p>
    <w:p w:rsidR="00D23772" w:rsidRPr="00D23772" w:rsidRDefault="00D23772" w:rsidP="00D23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772" w:rsidRPr="00D23772" w:rsidRDefault="00D23772" w:rsidP="00D2377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772" w:rsidRPr="00D23772" w:rsidRDefault="00D23772" w:rsidP="00D2377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D23772" w:rsidRPr="00D23772" w:rsidRDefault="00D23772" w:rsidP="00D2377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Югорска </w:t>
      </w:r>
      <w:proofErr w:type="gramStart"/>
      <w:r w:rsidRPr="00D23772">
        <w:rPr>
          <w:rFonts w:ascii="Times New Roman" w:eastAsia="Times New Roman" w:hAnsi="Times New Roman" w:cs="Calibri"/>
          <w:sz w:val="24"/>
          <w:szCs w:val="24"/>
          <w:lang w:eastAsia="ar-SA"/>
        </w:rPr>
        <w:t>от</w:t>
      </w:r>
      <w:proofErr w:type="gramEnd"/>
      <w:r w:rsidRPr="00D2377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D23772" w:rsidRPr="00D23772" w:rsidRDefault="00D23772" w:rsidP="00D2377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772">
        <w:rPr>
          <w:rFonts w:ascii="Times New Roman" w:eastAsia="Times New Roman" w:hAnsi="Times New Roman" w:cs="Calibri"/>
          <w:sz w:val="24"/>
          <w:szCs w:val="24"/>
          <w:lang w:eastAsia="ar-SA"/>
        </w:rPr>
        <w:t>08.04.2015 № 1784</w:t>
      </w:r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материальном </w:t>
      </w:r>
    </w:p>
    <w:p w:rsidR="00D23772" w:rsidRPr="00D23772" w:rsidRDefault="00D23772" w:rsidP="00D2377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стимулировании членов </w:t>
      </w:r>
      <w:proofErr w:type="gramStart"/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</w:t>
      </w:r>
      <w:proofErr w:type="gramEnd"/>
    </w:p>
    <w:p w:rsidR="00D23772" w:rsidRPr="00D23772" w:rsidRDefault="00D23772" w:rsidP="00D2377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дружины города Югорска»</w:t>
      </w:r>
      <w:bookmarkStart w:id="0" w:name="sub_1000"/>
    </w:p>
    <w:p w:rsidR="00D23772" w:rsidRPr="00D23772" w:rsidRDefault="00D23772" w:rsidP="00D2377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772" w:rsidRPr="00D23772" w:rsidRDefault="00D23772" w:rsidP="00D2377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772" w:rsidRPr="00D23772" w:rsidRDefault="00D23772" w:rsidP="00D2377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772" w:rsidRPr="00D23772" w:rsidRDefault="00D23772" w:rsidP="00D23772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D237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Федеральным законом от 02.04.2014 № 44-ФЗ «Об участии граждан в охране общественного порядка», Законом Ханты-Мансийского автономного округа – Югры                           от 19.11.2014 № 95-оз «О регулировании отдельных вопросов участия граждан в охране общественного порядка в Ханты-Мансийском автономном округе – Югре», </w:t>
        </w:r>
      </w:hyperlink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стимулирования граждан к участию в деятельности народной дружины  города Югорска по охране общественного порядка:</w:t>
      </w:r>
      <w:proofErr w:type="gramEnd"/>
    </w:p>
    <w:p w:rsidR="00D23772" w:rsidRPr="00D23772" w:rsidRDefault="00D23772" w:rsidP="00D23772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23772">
        <w:rPr>
          <w:rFonts w:ascii="Times New Roman" w:eastAsia="Times New Roman" w:hAnsi="Times New Roman" w:cs="Calibri"/>
          <w:sz w:val="24"/>
          <w:szCs w:val="24"/>
          <w:lang w:eastAsia="ar-SA"/>
        </w:rPr>
        <w:t>Внести в постановление администрации города Югорска от 08.04.2015 № 1784                     «</w:t>
      </w:r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материальном стимулировании членов народной дружины города Югорска» </w:t>
      </w: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 изменения:</w:t>
      </w:r>
    </w:p>
    <w:p w:rsidR="00D23772" w:rsidRPr="00D23772" w:rsidRDefault="00D23772" w:rsidP="00D23772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преамбуле слова «(с последующими изменениями)» исключить. </w:t>
      </w:r>
    </w:p>
    <w:p w:rsidR="00D23772" w:rsidRPr="00D23772" w:rsidRDefault="00D23772" w:rsidP="00D23772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Приложение изложить в новой редакции (приложение).</w:t>
      </w:r>
      <w:bookmarkStart w:id="1" w:name="sub_2"/>
    </w:p>
    <w:p w:rsidR="00D23772" w:rsidRPr="00D23772" w:rsidRDefault="00D23772" w:rsidP="00D23772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постановление в официальном печатном </w:t>
      </w:r>
      <w:proofErr w:type="gramStart"/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</w:t>
      </w:r>
      <w:proofErr w:type="gramEnd"/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Югорска и разместить на официальном сайте администрации города Югорска.</w:t>
      </w:r>
      <w:bookmarkStart w:id="2" w:name="sub_3"/>
      <w:bookmarkEnd w:id="1"/>
    </w:p>
    <w:p w:rsidR="00D23772" w:rsidRPr="00D23772" w:rsidRDefault="00D23772" w:rsidP="00D23772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Start w:id="3" w:name="sub_4"/>
      <w:bookmarkEnd w:id="2"/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D23772" w:rsidRPr="00D23772" w:rsidRDefault="00D23772" w:rsidP="00D23772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 возложить на заместителя главы  города </w:t>
      </w:r>
      <w:bookmarkEnd w:id="3"/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Югорска А.В. Бородкина.</w:t>
      </w:r>
    </w:p>
    <w:p w:rsidR="00D23772" w:rsidRPr="00D23772" w:rsidRDefault="00D23772" w:rsidP="00D23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772" w:rsidRPr="00D23772" w:rsidRDefault="00D23772" w:rsidP="00D23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города Югорска                                                                                                    Р.З. Салахов </w:t>
      </w:r>
    </w:p>
    <w:p w:rsidR="00D23772" w:rsidRPr="00D23772" w:rsidRDefault="00D23772" w:rsidP="00D23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772" w:rsidRPr="00D23772" w:rsidRDefault="00D23772" w:rsidP="00D23772">
      <w:pPr>
        <w:suppressAutoHyphens/>
        <w:spacing w:after="0" w:line="240" w:lineRule="auto"/>
        <w:ind w:left="57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sub_1200"/>
      <w:bookmarkEnd w:id="0"/>
    </w:p>
    <w:p w:rsidR="00D23772" w:rsidRPr="00D23772" w:rsidRDefault="00D23772" w:rsidP="00D23772">
      <w:pPr>
        <w:suppressAutoHyphens/>
        <w:spacing w:after="0" w:line="240" w:lineRule="auto"/>
        <w:ind w:left="57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ind w:left="57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ind w:left="57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ind w:left="57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ind w:left="57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ind w:left="57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ind w:left="57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ind w:left="57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ind w:left="57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</w:p>
    <w:p w:rsidR="00D23772" w:rsidRPr="00D23772" w:rsidRDefault="00D23772" w:rsidP="00D237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постановлению</w:t>
      </w:r>
    </w:p>
    <w:p w:rsidR="00D23772" w:rsidRPr="00D23772" w:rsidRDefault="00D23772" w:rsidP="00D237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администрации города Югорска</w:t>
      </w:r>
    </w:p>
    <w:p w:rsidR="00D23772" w:rsidRPr="00D23772" w:rsidRDefault="00D23772" w:rsidP="00D237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 10 мая 2016 года  № 973</w:t>
      </w:r>
    </w:p>
    <w:p w:rsidR="00D23772" w:rsidRPr="00D23772" w:rsidRDefault="00D23772" w:rsidP="00D23772">
      <w:pPr>
        <w:suppressAutoHyphens/>
        <w:spacing w:after="0" w:line="240" w:lineRule="auto"/>
        <w:ind w:left="578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ind w:left="578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ind w:left="578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ind w:left="578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D23772" w:rsidRPr="00D23772" w:rsidRDefault="00D23772" w:rsidP="00D23772">
      <w:pPr>
        <w:suppressAutoHyphens/>
        <w:spacing w:after="0" w:line="240" w:lineRule="auto"/>
        <w:ind w:left="508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</w:t>
      </w:r>
    </w:p>
    <w:p w:rsidR="00D23772" w:rsidRPr="00D23772" w:rsidRDefault="00D23772" w:rsidP="00D23772">
      <w:pPr>
        <w:suppressAutoHyphens/>
        <w:spacing w:after="0" w:line="240" w:lineRule="auto"/>
        <w:ind w:left="508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города Югорска </w:t>
      </w:r>
    </w:p>
    <w:p w:rsidR="00D23772" w:rsidRPr="00D23772" w:rsidRDefault="00D23772" w:rsidP="00D23772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D2377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 08 апреля 2015</w:t>
      </w: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  </w:t>
      </w:r>
      <w:r w:rsidRPr="00D2377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1784</w:t>
      </w:r>
    </w:p>
    <w:p w:rsidR="00D23772" w:rsidRPr="00D23772" w:rsidRDefault="00D23772" w:rsidP="00D23772">
      <w:pPr>
        <w:suppressAutoHyphens/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Положение</w:t>
      </w:r>
    </w:p>
    <w:p w:rsidR="00D23772" w:rsidRPr="00D23772" w:rsidRDefault="00D23772" w:rsidP="00D23772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материальном стимулировании членов народной дружины города Югорска</w:t>
      </w:r>
    </w:p>
    <w:p w:rsidR="00D23772" w:rsidRPr="00D23772" w:rsidRDefault="00D23772" w:rsidP="00D237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772" w:rsidRPr="00D23772" w:rsidRDefault="00D23772" w:rsidP="00D2377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Общие положения</w:t>
      </w:r>
    </w:p>
    <w:p w:rsidR="00D23772" w:rsidRPr="00D23772" w:rsidRDefault="00D23772" w:rsidP="00D2377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1. Настоящее положение определяет размер и порядок выплаты денежного поощрения членам и народной дружины города Югорска (далее - народной дружины).</w:t>
      </w:r>
    </w:p>
    <w:p w:rsidR="00D23772" w:rsidRPr="00D23772" w:rsidRDefault="00D23772" w:rsidP="00D23772">
      <w:pPr>
        <w:tabs>
          <w:tab w:val="left" w:pos="0"/>
        </w:tabs>
        <w:suppressAutoHyphens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23772" w:rsidRPr="00D23772" w:rsidRDefault="00D23772" w:rsidP="00D23772">
      <w:pPr>
        <w:tabs>
          <w:tab w:val="left" w:pos="0"/>
        </w:tabs>
        <w:suppressAutoHyphens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Основные задачи</w:t>
      </w:r>
    </w:p>
    <w:p w:rsidR="00D23772" w:rsidRPr="00D23772" w:rsidRDefault="00D23772" w:rsidP="00D2377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Основная задача материального стимулирования членов народной                             дружины - активизация участия граждан в </w:t>
      </w:r>
      <w:proofErr w:type="gramStart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мероприятиях</w:t>
      </w:r>
      <w:proofErr w:type="gramEnd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охране общественного порядка на территории города Югорска.</w:t>
      </w:r>
    </w:p>
    <w:p w:rsidR="00D23772" w:rsidRPr="00D23772" w:rsidRDefault="00D23772" w:rsidP="00D23772">
      <w:pPr>
        <w:tabs>
          <w:tab w:val="left" w:pos="0"/>
        </w:tabs>
        <w:suppressAutoHyphens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772" w:rsidRPr="00D23772" w:rsidRDefault="00D23772" w:rsidP="00D23772">
      <w:pPr>
        <w:tabs>
          <w:tab w:val="left" w:pos="0"/>
        </w:tabs>
        <w:suppressAutoHyphens/>
        <w:spacing w:after="0" w:line="240" w:lineRule="auto"/>
        <w:ind w:firstLine="5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Порядок выплаты и размер денежного поощрения</w:t>
      </w:r>
    </w:p>
    <w:p w:rsidR="00D23772" w:rsidRPr="00D23772" w:rsidRDefault="00D23772" w:rsidP="00D23772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Решение о выплате денежного поощрения принимается  на основании рекомендации Штаба </w:t>
      </w:r>
      <w:r w:rsidRPr="00D2377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 вопросам взаимодействия и координации деятельности народной дружины</w:t>
      </w:r>
      <w:r w:rsidRPr="00D237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города Югорска (далее - Штаб) </w:t>
      </w: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достижении членами народной дружины следующих показателей:</w:t>
      </w:r>
    </w:p>
    <w:p w:rsidR="00D23772" w:rsidRPr="00D23772" w:rsidRDefault="00D23772" w:rsidP="00D23772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выход на дежурство 10 и более раз в течение квартала по 3 часа;</w:t>
      </w:r>
    </w:p>
    <w:p w:rsidR="00D23772" w:rsidRPr="00D23772" w:rsidRDefault="00D23772" w:rsidP="00D237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участие в охране общественного порядка при проведении культурно-массовых, праздничных, спортивных мероприятий, проводимых в городе Югорске (в случае их проведения);</w:t>
      </w:r>
    </w:p>
    <w:p w:rsidR="00D23772" w:rsidRPr="00D23772" w:rsidRDefault="00D23772" w:rsidP="00D237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участие в профилактических </w:t>
      </w:r>
      <w:proofErr w:type="gramStart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мероприятиях</w:t>
      </w:r>
      <w:proofErr w:type="gramEnd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охране общественного порядка, проводимых Отделом Министерства внутренних дел России по  городу </w:t>
      </w:r>
      <w:proofErr w:type="spellStart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Югорску</w:t>
      </w:r>
      <w:proofErr w:type="spellEnd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23772" w:rsidRPr="00D23772" w:rsidRDefault="00D23772" w:rsidP="00D237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Ежеквартально,</w:t>
      </w:r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10-го числа месяца следующего за отчетным периодом, </w:t>
      </w: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эксперт управления по вопросам общественной безопасности администрации города Югорска, курирующий вопросы деятельности народной дружины, представляет согласованную Отделом Министерства внутренних дел России по городу </w:t>
      </w:r>
      <w:proofErr w:type="spellStart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Югорску</w:t>
      </w:r>
      <w:proofErr w:type="spellEnd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информацию председателю Штаба               о деятельности всех членов народной дружины за отчетный период, с указанием количества выходов каждого члена народной дружины на дежурство, участий в охране общественного порядка</w:t>
      </w:r>
      <w:proofErr w:type="gramEnd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проведении культурно-массовых, праздничных, спортивных мероприятий, профилактических мероприятиях в ночное время, а также представление о денежном поощрении членов народной дружины, достигших показателей, предусмотренных в пункте                       3 настоящего положения. Соответствующая справка должна быть согласована заместителем </w:t>
      </w:r>
      <w:proofErr w:type="gramStart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начальника Отдела Министерства внутренних дел России</w:t>
      </w:r>
      <w:proofErr w:type="gramEnd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городу </w:t>
      </w:r>
      <w:proofErr w:type="spellStart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Югорску</w:t>
      </w:r>
      <w:proofErr w:type="spellEnd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23772" w:rsidRPr="00D23772" w:rsidRDefault="00D23772" w:rsidP="00D237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5. По результатам рассмотрения представления, при подтверждении соответствия предъявляемым требованиям (</w:t>
      </w:r>
      <w:proofErr w:type="gramStart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соответствии</w:t>
      </w:r>
      <w:proofErr w:type="gramEnd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предъявляемым требованиям) Штаб принимает решение о денежном поощрении членов народной дружины (отказе в выплате денежного поощрения членам народной дружины), которое оформляется протоколом. Протокол заседания Штаба в течение трех дней направляется главе администрации города Югорска. На основании решения Штаба о денежном поощрении издается распоряжение администрации города Югорска о денежном поощрении членов народной дружины. </w:t>
      </w:r>
    </w:p>
    <w:p w:rsidR="00D23772" w:rsidRPr="00D23772" w:rsidRDefault="00D23772" w:rsidP="00D237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Штаб проводит свои заседания ежеквартально, в срок до 10-го числа месяца следующего за отчетным кварталом. </w:t>
      </w:r>
    </w:p>
    <w:p w:rsidR="00D23772" w:rsidRPr="00D23772" w:rsidRDefault="00D23772" w:rsidP="00D237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6. Размер денежного поощрения на одного члена народной дружины устанавливается в </w:t>
      </w:r>
      <w:proofErr w:type="gramStart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размере</w:t>
      </w:r>
      <w:proofErr w:type="gramEnd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3448 (три тысячи четыреста сорок восемь) рублей.</w:t>
      </w:r>
    </w:p>
    <w:p w:rsidR="00D23772" w:rsidRPr="00D23772" w:rsidRDefault="00D23772" w:rsidP="00D237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7. Денежное поощрение выплачивается за счет средств бюджетов Ханты-Мансийского автономного округа-Югры и города Югорска, выделяемых на реализацию соответствующих мероприятий муниципальной программы города Югорска «</w:t>
      </w:r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правонарушений, противодействие коррупции и незаконному обороту наркотиков в городе Югорске на                      2014 - 2020 годы</w:t>
      </w: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утвержденной  постановлением администрации города  Югорска                            </w:t>
      </w:r>
      <w:r w:rsidRPr="00D237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31.10.2013№ 3289</w:t>
      </w: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пределах лимитов бюджетных ассигнований.</w:t>
      </w:r>
    </w:p>
    <w:bookmarkEnd w:id="4"/>
    <w:p w:rsidR="00D23772" w:rsidRPr="00D23772" w:rsidRDefault="00D23772" w:rsidP="00D237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Граждане, входящие в состав народной дружины и принимающие активное участие в охране общественного порядка на территории города Югорска, награждаются наградами главы города Югорска, Думы города Югорска, начальника Отдела Министерства внутренних дел России по городу </w:t>
      </w:r>
      <w:proofErr w:type="spellStart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Югорску</w:t>
      </w:r>
      <w:proofErr w:type="spellEnd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, Управления Министерства внутренних дел России по                           Ханты-Мансийскому автономному округу-Югре.</w:t>
      </w:r>
    </w:p>
    <w:p w:rsidR="00D23772" w:rsidRPr="00D23772" w:rsidRDefault="00D23772" w:rsidP="00D237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За активное участие в охране общественного порядка на территории города Югорска членам народной дружины, работающим в муниципальных предприятиях, организациях, в администрации города Югорска предоставляется до 3 дней дополнительного оплачиваемого отпуска при предъявлении справки из Отдела Министерства внутренних дел России по городу </w:t>
      </w:r>
      <w:proofErr w:type="spellStart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Югорску</w:t>
      </w:r>
      <w:proofErr w:type="spellEnd"/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согласованной командиром народной дружины.</w:t>
      </w:r>
    </w:p>
    <w:p w:rsidR="00D23772" w:rsidRPr="00D23772" w:rsidRDefault="00D23772" w:rsidP="00D23772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3772">
        <w:rPr>
          <w:rFonts w:ascii="Times New Roman" w:eastAsia="Times New Roman" w:hAnsi="Times New Roman" w:cs="Times New Roman"/>
          <w:sz w:val="24"/>
          <w:szCs w:val="24"/>
          <w:lang w:eastAsia="ar-SA"/>
        </w:rPr>
        <w:t>10. Порядок и условия предоставления дополнительных оплачиваемых отпусков членам  народной дружины, работающим на  предприятиях и в организациях, не являющихся муниципальными, определяются коллективными договорами или локальными нормативными актами.</w:t>
      </w:r>
    </w:p>
    <w:p w:rsidR="00D23772" w:rsidRPr="00D23772" w:rsidRDefault="00D23772" w:rsidP="00D237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3772" w:rsidRPr="00D23772" w:rsidRDefault="00D23772" w:rsidP="00D237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3F06" w:rsidRDefault="00673F06">
      <w:bookmarkStart w:id="5" w:name="_GoBack"/>
      <w:bookmarkEnd w:id="5"/>
    </w:p>
    <w:sectPr w:rsidR="00673F06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32"/>
    <w:rsid w:val="00530E32"/>
    <w:rsid w:val="00673F06"/>
    <w:rsid w:val="00D2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2377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alloon Text"/>
    <w:basedOn w:val="a"/>
    <w:link w:val="a4"/>
    <w:uiPriority w:val="99"/>
    <w:semiHidden/>
    <w:unhideWhenUsed/>
    <w:rsid w:val="00D2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2377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alloon Text"/>
    <w:basedOn w:val="a"/>
    <w:link w:val="a4"/>
    <w:uiPriority w:val="99"/>
    <w:semiHidden/>
    <w:unhideWhenUsed/>
    <w:rsid w:val="00D2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9007763.312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5379</Characters>
  <Application>Microsoft Office Word</Application>
  <DocSecurity>0</DocSecurity>
  <Lines>44</Lines>
  <Paragraphs>12</Paragraphs>
  <ScaleCrop>false</ScaleCrop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2</cp:revision>
  <dcterms:created xsi:type="dcterms:W3CDTF">2017-02-22T06:47:00Z</dcterms:created>
  <dcterms:modified xsi:type="dcterms:W3CDTF">2017-02-22T06:47:00Z</dcterms:modified>
</cp:coreProperties>
</file>