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411FA2">
        <w:rPr>
          <w:rFonts w:ascii="PT Astra Serif" w:hAnsi="PT Astra Serif"/>
          <w:color w:val="000099"/>
          <w:sz w:val="28"/>
          <w:szCs w:val="28"/>
        </w:rPr>
        <w:t xml:space="preserve"> </w:t>
      </w:r>
      <w:r w:rsidR="00411FA2" w:rsidRPr="00411FA2">
        <w:rPr>
          <w:rFonts w:ascii="PT Astra Serif" w:hAnsi="PT Astra Serif"/>
          <w:color w:val="000099"/>
          <w:sz w:val="28"/>
          <w:szCs w:val="28"/>
        </w:rPr>
        <w:t>213862200236886220100101290016311244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AF3285" w:rsidRPr="006B7FE2">
        <w:rPr>
          <w:rFonts w:ascii="PT Astra Serif" w:hAnsi="PT Astra Serif"/>
          <w:color w:val="000099"/>
          <w:sz w:val="28"/>
          <w:szCs w:val="28"/>
        </w:rPr>
        <w:t xml:space="preserve">передаче неисключительных прав </w:t>
      </w:r>
      <w:r w:rsidR="001704B8" w:rsidRPr="001704B8">
        <w:rPr>
          <w:rFonts w:ascii="PT Astra Serif" w:hAnsi="PT Astra Serif"/>
          <w:color w:val="000099"/>
          <w:sz w:val="28"/>
          <w:szCs w:val="28"/>
        </w:rPr>
        <w:t>на использование программного обеспечения</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AF3285" w:rsidRPr="006B7FE2">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00B7141C">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AF3285" w:rsidRPr="006B7FE2">
        <w:rPr>
          <w:rFonts w:ascii="PT Astra Serif" w:hAnsi="PT Astra Serif"/>
          <w:color w:val="000099"/>
          <w:sz w:val="28"/>
          <w:szCs w:val="28"/>
        </w:rPr>
        <w:t>01.07.2021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AF3285" w:rsidRPr="006B7FE2">
        <w:rPr>
          <w:rFonts w:ascii="PT Astra Serif" w:hAnsi="PT Astra Serif"/>
          <w:color w:val="000099"/>
          <w:kern w:val="2"/>
          <w:sz w:val="28"/>
          <w:szCs w:val="28"/>
          <w:u w:val="single"/>
          <w:lang w:val="en-US"/>
        </w:rPr>
        <w:t>it</w:t>
      </w:r>
      <w:r w:rsidR="00AF3285" w:rsidRPr="006B7FE2">
        <w:rPr>
          <w:rFonts w:ascii="PT Astra Serif" w:hAnsi="PT Astra Serif"/>
          <w:color w:val="000099"/>
          <w:kern w:val="2"/>
          <w:sz w:val="28"/>
          <w:szCs w:val="28"/>
          <w:u w:val="single"/>
        </w:rPr>
        <w:t>@</w:t>
      </w:r>
      <w:r w:rsidR="00AF3285" w:rsidRPr="006B7FE2">
        <w:rPr>
          <w:rFonts w:ascii="PT Astra Serif" w:hAnsi="PT Astra Serif"/>
          <w:color w:val="000099"/>
          <w:kern w:val="2"/>
          <w:sz w:val="28"/>
          <w:szCs w:val="28"/>
          <w:u w:val="single"/>
          <w:lang w:val="en-US"/>
        </w:rPr>
        <w:t>ugorsk</w:t>
      </w:r>
      <w:r w:rsidR="00AF3285" w:rsidRPr="006B7FE2">
        <w:rPr>
          <w:rFonts w:ascii="PT Astra Serif" w:hAnsi="PT Astra Serif"/>
          <w:color w:val="000099"/>
          <w:kern w:val="2"/>
          <w:sz w:val="28"/>
          <w:szCs w:val="28"/>
          <w:u w:val="single"/>
        </w:rPr>
        <w:t>.</w:t>
      </w:r>
      <w:r w:rsidR="00AF3285" w:rsidRPr="006B7FE2">
        <w:rPr>
          <w:rFonts w:ascii="PT Astra Serif" w:hAnsi="PT Astra Serif"/>
          <w:color w:val="000099"/>
          <w:kern w:val="2"/>
          <w:sz w:val="28"/>
          <w:szCs w:val="28"/>
          <w:u w:val="single"/>
          <w:lang w:val="en-US"/>
        </w:rPr>
        <w:t>ru</w:t>
      </w:r>
      <w:r w:rsidRPr="006B7FE2">
        <w:rPr>
          <w:rFonts w:ascii="PT Astra Serif" w:hAnsi="PT Astra Serif"/>
          <w:kern w:val="2"/>
          <w:sz w:val="28"/>
          <w:szCs w:val="28"/>
        </w:rPr>
        <w:t xml:space="preserve">. Номером факса для получения извещения является: </w:t>
      </w:r>
      <w:r w:rsidR="00AF3285" w:rsidRPr="006B7FE2">
        <w:rPr>
          <w:rFonts w:ascii="PT Astra Serif" w:hAnsi="PT Astra Serif"/>
          <w:kern w:val="2"/>
          <w:sz w:val="28"/>
          <w:szCs w:val="28"/>
        </w:rPr>
        <w:t>8 (34675) 50061</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w:t>
      </w:r>
      <w:r w:rsidRPr="006B7FE2">
        <w:rPr>
          <w:rFonts w:ascii="PT Astra Serif" w:hAnsi="PT Astra Serif"/>
          <w:kern w:val="2"/>
          <w:sz w:val="28"/>
          <w:szCs w:val="28"/>
        </w:rPr>
        <w:lastRenderedPageBreak/>
        <w:t>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lastRenderedPageBreak/>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составляет 5% от цены</w:t>
      </w:r>
      <w:r w:rsidRPr="00B7141C">
        <w:rPr>
          <w:rFonts w:ascii="PT Astra Serif" w:hAnsi="PT Astra Serif"/>
          <w:sz w:val="28"/>
          <w:szCs w:val="28"/>
        </w:rPr>
        <w:t>, по которой в соответствии с Законом о контрактной системе, будет заключён контракт.</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w:t>
      </w:r>
      <w:r w:rsidRPr="006B7FE2">
        <w:rPr>
          <w:rFonts w:ascii="PT Astra Serif" w:hAnsi="PT Astra Serif"/>
          <w:sz w:val="28"/>
          <w:szCs w:val="28"/>
        </w:rPr>
        <w:lastRenderedPageBreak/>
        <w:t>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w:t>
      </w:r>
      <w:r w:rsidRPr="006B7FE2">
        <w:rPr>
          <w:rFonts w:ascii="PT Astra Serif" w:hAnsi="PT Astra Serif"/>
          <w:color w:val="00000A"/>
          <w:sz w:val="28"/>
          <w:szCs w:val="28"/>
        </w:rPr>
        <w:lastRenderedPageBreak/>
        <w:t>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6B7FE2">
        <w:rPr>
          <w:rFonts w:ascii="PT Astra Serif" w:hAnsi="PT Astra Serif"/>
          <w:iCs/>
          <w:sz w:val="28"/>
          <w:szCs w:val="28"/>
        </w:rPr>
        <w:lastRenderedPageBreak/>
        <w:t>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w:t>
      </w:r>
      <w:r w:rsidRPr="006B7FE2">
        <w:rPr>
          <w:rFonts w:ascii="PT Astra Serif" w:hAnsi="PT Astra Serif"/>
          <w:color w:val="auto"/>
          <w:sz w:val="28"/>
          <w:szCs w:val="28"/>
        </w:rPr>
        <w:lastRenderedPageBreak/>
        <w:t>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w:t>
      </w:r>
      <w:r w:rsidRPr="006B7FE2">
        <w:rPr>
          <w:rFonts w:ascii="PT Astra Serif" w:hAnsi="PT Astra Serif"/>
          <w:sz w:val="28"/>
          <w:szCs w:val="28"/>
        </w:rPr>
        <w:lastRenderedPageBreak/>
        <w:t>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w:t>
      </w:r>
      <w:r w:rsidRPr="006B7FE2">
        <w:rPr>
          <w:rFonts w:ascii="PT Astra Serif" w:hAnsi="PT Astra Serif"/>
          <w:sz w:val="28"/>
          <w:szCs w:val="28"/>
        </w:rPr>
        <w:lastRenderedPageBreak/>
        <w:t>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4D7417" w:rsidRPr="004D7417">
        <w:rPr>
          <w:rFonts w:ascii="PT Astra Serif" w:hAnsi="PT Astra Serif" w:cs="Times New Roman"/>
          <w:color w:val="000099"/>
          <w:sz w:val="28"/>
          <w:szCs w:val="28"/>
        </w:rPr>
        <w:t>12</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4D7417" w:rsidRPr="00F10F53">
        <w:rPr>
          <w:rFonts w:ascii="PT Astra Serif" w:hAnsi="PT Astra Serif" w:cs="Times New Roman"/>
          <w:color w:val="000099"/>
          <w:sz w:val="28"/>
          <w:szCs w:val="28"/>
        </w:rPr>
        <w:t>1</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4D7417" w:rsidRPr="00F10F53">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lastRenderedPageBreak/>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5669"/>
        <w:gridCol w:w="3902"/>
      </w:tblGrid>
      <w:tr w:rsidR="00D91FE3" w:rsidRPr="00CF690A" w:rsidTr="0090054E">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Юридический адрес:</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628260, Тюменская область, Ханты-Мансийский автономный округ – Югра, г. Югорск, ул. 40 лет Победы, д. 11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ИНН/КПП 8622002368/862201001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Банковские реквизиты:</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Депфин Югорск (Администрация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получателя (№ казначейского счета): </w:t>
            </w:r>
            <w:r w:rsidRPr="006E0533">
              <w:rPr>
                <w:rFonts w:ascii="PT Astra Serif" w:hAnsi="PT Astra Serif"/>
                <w:bCs/>
                <w:spacing w:val="-1"/>
                <w:sz w:val="28"/>
                <w:szCs w:val="28"/>
              </w:rPr>
              <w:t>03231643718870008700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РКЦ Ханты-Мансийск // УФК по Ханты-Мансийскому автономному округу – Югре г. Ханты-Мансийск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БИК 007162163</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банка получателя (ЕКС): </w:t>
            </w:r>
            <w:r w:rsidRPr="006E0533">
              <w:rPr>
                <w:rFonts w:ascii="PT Astra Serif" w:hAnsi="PT Astra Serif"/>
                <w:bCs/>
                <w:spacing w:val="-1"/>
                <w:sz w:val="28"/>
                <w:szCs w:val="28"/>
              </w:rPr>
              <w:t>401 028 102 453 700 000 07</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ОГРН 1028601843720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ОКВЭД 84.11.3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ОКПО 04262843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ОКФС 14 / ОКОПФ 75404</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ОКТМО 71887000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ОКОГУ 3300200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Электронная почта: </w:t>
            </w:r>
            <w:hyperlink r:id="rId14" w:history="1">
              <w:r w:rsidRPr="006E0533">
                <w:rPr>
                  <w:rStyle w:val="affffff"/>
                  <w:rFonts w:ascii="PT Astra Serif" w:hAnsi="PT Astra Serif"/>
                  <w:bCs/>
                  <w:spacing w:val="-1"/>
                  <w:sz w:val="28"/>
                  <w:szCs w:val="28"/>
                </w:rPr>
                <w:t>adm@ygorsk.ru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3902"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D3584D" w:rsidRPr="001704B8" w:rsidRDefault="00D3584D" w:rsidP="00D3584D">
      <w:pPr>
        <w:ind w:firstLine="709"/>
        <w:jc w:val="both"/>
        <w:rPr>
          <w:rFonts w:ascii="PT Astra Serif" w:hAnsi="PT Astra Serif"/>
          <w:sz w:val="24"/>
          <w:szCs w:val="24"/>
        </w:rPr>
      </w:pPr>
      <w:bookmarkStart w:id="4" w:name="OLE_LINK9"/>
      <w:bookmarkStart w:id="5" w:name="OLE_LINK10"/>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оказание услуг по передаче неисключительных прав </w:t>
      </w:r>
      <w:r w:rsidR="001704B8" w:rsidRPr="001704B8">
        <w:rPr>
          <w:rFonts w:ascii="PT Astra Serif" w:hAnsi="PT Astra Serif"/>
          <w:sz w:val="24"/>
          <w:szCs w:val="24"/>
        </w:rPr>
        <w:t>на использование программного обеспечения</w:t>
      </w:r>
      <w:r w:rsidRPr="001704B8">
        <w:rPr>
          <w:rFonts w:ascii="PT Astra Serif" w:hAnsi="PT Astra Serif"/>
          <w:sz w:val="24"/>
          <w:szCs w:val="24"/>
        </w:rPr>
        <w:t>.</w:t>
      </w:r>
    </w:p>
    <w:p w:rsidR="00D3584D" w:rsidRPr="001704B8" w:rsidRDefault="00D3584D" w:rsidP="00D3584D">
      <w:pPr>
        <w:ind w:firstLine="709"/>
        <w:jc w:val="both"/>
        <w:rPr>
          <w:rFonts w:ascii="PT Astra Serif" w:hAnsi="PT Astra Serif"/>
          <w:b/>
          <w:sz w:val="24"/>
          <w:szCs w:val="24"/>
        </w:rPr>
      </w:pPr>
    </w:p>
    <w:bookmarkEnd w:id="4"/>
    <w:bookmarkEnd w:id="5"/>
    <w:p w:rsidR="00847EDC" w:rsidRPr="00CE38E5" w:rsidRDefault="00847EDC" w:rsidP="00847EDC">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847EDC" w:rsidRDefault="00847EDC" w:rsidP="00847EDC">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847EDC" w:rsidRPr="00CE38E5"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847EDC" w:rsidRPr="00CE38E5" w:rsidRDefault="00847EDC" w:rsidP="00847EDC">
      <w:pPr>
        <w:ind w:firstLine="709"/>
        <w:jc w:val="both"/>
        <w:rPr>
          <w:rFonts w:ascii="PT Astra Serif" w:hAnsi="PT Astra Serif"/>
          <w:sz w:val="24"/>
          <w:szCs w:val="24"/>
        </w:rPr>
      </w:pPr>
    </w:p>
    <w:p w:rsidR="00847EDC" w:rsidRPr="00CF690A" w:rsidRDefault="00847EDC" w:rsidP="00847EDC">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3544"/>
        <w:gridCol w:w="6095"/>
      </w:tblGrid>
      <w:tr w:rsidR="00847EDC" w:rsidRPr="00CF690A" w:rsidTr="00DF34AA">
        <w:tc>
          <w:tcPr>
            <w:tcW w:w="567" w:type="dxa"/>
            <w:tcBorders>
              <w:top w:val="single" w:sz="4" w:space="0" w:color="000000"/>
              <w:left w:val="single" w:sz="4" w:space="0" w:color="000000"/>
              <w:bottom w:val="single" w:sz="4" w:space="0" w:color="auto"/>
            </w:tcBorders>
          </w:tcPr>
          <w:p w:rsidR="00847EDC" w:rsidRPr="00CF690A" w:rsidRDefault="00847EDC" w:rsidP="00DF34A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847EDC" w:rsidRPr="00CF690A" w:rsidRDefault="00847EDC" w:rsidP="00DF34A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847EDC" w:rsidRPr="00CF690A" w:rsidRDefault="00847EDC" w:rsidP="00DF34A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847EDC" w:rsidRPr="00CF690A" w:rsidTr="00DF34AA">
        <w:trPr>
          <w:trHeight w:val="787"/>
        </w:trPr>
        <w:tc>
          <w:tcPr>
            <w:tcW w:w="567" w:type="dxa"/>
            <w:tcBorders>
              <w:top w:val="single" w:sz="4" w:space="0" w:color="auto"/>
              <w:left w:val="single" w:sz="4" w:space="0" w:color="auto"/>
              <w:bottom w:val="single" w:sz="4" w:space="0" w:color="auto"/>
              <w:right w:val="single" w:sz="4" w:space="0" w:color="auto"/>
            </w:tcBorders>
          </w:tcPr>
          <w:p w:rsidR="00847EDC" w:rsidRPr="00CF690A" w:rsidRDefault="00847EDC" w:rsidP="00DF34AA">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847EDC" w:rsidRPr="00CF690A" w:rsidRDefault="00847EDC" w:rsidP="00DF34AA">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847EDC" w:rsidRDefault="00847EDC" w:rsidP="00DF34AA">
            <w:pPr>
              <w:jc w:val="both"/>
              <w:rPr>
                <w:rFonts w:ascii="PT Astra Serif" w:eastAsia="Arial" w:hAnsi="PT Astra Serif" w:cs="Tahoma"/>
                <w:szCs w:val="22"/>
              </w:rPr>
            </w:pPr>
            <w:r>
              <w:rPr>
                <w:rFonts w:ascii="PT Astra Serif" w:eastAsia="Arial" w:hAnsi="PT Astra Serif" w:cs="Tahoma"/>
                <w:szCs w:val="22"/>
              </w:rPr>
              <w:t>Дозакупка к</w:t>
            </w:r>
            <w:r w:rsidRPr="00CE38E5">
              <w:rPr>
                <w:rFonts w:ascii="PT Astra Serif" w:eastAsia="Arial" w:hAnsi="PT Astra Serif" w:cs="Tahoma"/>
                <w:szCs w:val="22"/>
              </w:rPr>
              <w:t xml:space="preserve"> действующей лицензии на антивирусное программное обеспечение Kaspersky Endpoint Security для бизнеса - Расширенный Russian Edition </w:t>
            </w:r>
            <w:r>
              <w:rPr>
                <w:rFonts w:ascii="PT Astra Serif" w:eastAsia="Arial" w:hAnsi="PT Astra Serif" w:cs="Tahoma"/>
                <w:szCs w:val="22"/>
              </w:rPr>
              <w:t xml:space="preserve">250-499 </w:t>
            </w:r>
            <w:r>
              <w:rPr>
                <w:rFonts w:ascii="PT Astra Serif" w:eastAsia="Arial" w:hAnsi="PT Astra Serif" w:cs="Tahoma"/>
                <w:szCs w:val="22"/>
                <w:lang w:val="en-US"/>
              </w:rPr>
              <w:t>Node</w:t>
            </w:r>
            <w:r w:rsidRPr="00A63F80">
              <w:rPr>
                <w:rFonts w:ascii="PT Astra Serif" w:eastAsia="Arial" w:hAnsi="PT Astra Serif" w:cs="Tahoma"/>
                <w:szCs w:val="22"/>
              </w:rPr>
              <w:t xml:space="preserve"> </w:t>
            </w:r>
            <w:r w:rsidRPr="00CE38E5">
              <w:rPr>
                <w:rFonts w:ascii="PT Astra Serif" w:eastAsia="Arial" w:hAnsi="PT Astra Serif" w:cs="Tahoma"/>
                <w:szCs w:val="22"/>
              </w:rPr>
              <w:t xml:space="preserve">1 </w:t>
            </w:r>
            <w:r>
              <w:rPr>
                <w:rFonts w:ascii="PT Astra Serif" w:eastAsia="Arial" w:hAnsi="PT Astra Serif" w:cs="Tahoma"/>
                <w:szCs w:val="22"/>
                <w:lang w:val="en-US"/>
              </w:rPr>
              <w:t>year</w:t>
            </w:r>
            <w:r>
              <w:rPr>
                <w:rFonts w:ascii="PT Astra Serif" w:eastAsia="Arial" w:hAnsi="PT Astra Serif" w:cs="Tahoma"/>
                <w:szCs w:val="22"/>
              </w:rPr>
              <w:t>) на 50 узлов.</w:t>
            </w:r>
          </w:p>
          <w:p w:rsidR="00847EDC" w:rsidRPr="00CF690A" w:rsidRDefault="00F10F53" w:rsidP="00F10F53">
            <w:pPr>
              <w:jc w:val="both"/>
              <w:rPr>
                <w:rFonts w:ascii="PT Astra Serif" w:eastAsia="Arial" w:hAnsi="PT Astra Serif" w:cs="Tahoma"/>
                <w:szCs w:val="22"/>
              </w:rPr>
            </w:pPr>
            <w:r>
              <w:rPr>
                <w:rFonts w:ascii="PT Astra Serif" w:eastAsia="Arial" w:hAnsi="PT Astra Serif" w:cs="Tahoma"/>
                <w:szCs w:val="22"/>
              </w:rPr>
              <w:t>Срок действия л</w:t>
            </w:r>
            <w:r w:rsidR="00847EDC">
              <w:rPr>
                <w:rFonts w:ascii="PT Astra Serif" w:eastAsia="Arial" w:hAnsi="PT Astra Serif" w:cs="Tahoma"/>
                <w:szCs w:val="22"/>
              </w:rPr>
              <w:t>ицензи</w:t>
            </w:r>
            <w:r>
              <w:rPr>
                <w:rFonts w:ascii="PT Astra Serif" w:eastAsia="Arial" w:hAnsi="PT Astra Serif" w:cs="Tahoma"/>
                <w:szCs w:val="22"/>
              </w:rPr>
              <w:t>и: не менее 12 месяцев с даты выдачи</w:t>
            </w:r>
            <w:bookmarkStart w:id="6" w:name="_GoBack"/>
            <w:bookmarkEnd w:id="6"/>
            <w:r w:rsidR="00847EDC">
              <w:rPr>
                <w:rFonts w:ascii="PT Astra Serif" w:eastAsia="Arial" w:hAnsi="PT Astra Serif" w:cs="Tahoma"/>
                <w:szCs w:val="22"/>
              </w:rPr>
              <w:t>.</w:t>
            </w:r>
          </w:p>
        </w:tc>
      </w:tr>
    </w:tbl>
    <w:p w:rsidR="001704B8" w:rsidRPr="00270CEF" w:rsidRDefault="001704B8" w:rsidP="001704B8">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CA6A18" w:rsidRDefault="00CA6A18">
      <w:pPr>
        <w:rPr>
          <w:rFonts w:ascii="PT Astra Serif" w:hAnsi="PT Astra Serif"/>
        </w:rPr>
      </w:pPr>
      <w:r>
        <w:rPr>
          <w:rFonts w:ascii="PT Astra Serif" w:hAnsi="PT Astra Serif"/>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CA6A18" w:rsidRPr="001704B8" w:rsidRDefault="00CA6A18" w:rsidP="00CA6A18">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w:t>
      </w:r>
      <w:r w:rsidR="00847EDC">
        <w:rPr>
          <w:rFonts w:ascii="PT Astra Serif" w:hAnsi="PT Astra Serif"/>
          <w:sz w:val="24"/>
          <w:szCs w:val="24"/>
        </w:rPr>
        <w:t>о</w:t>
      </w:r>
      <w:r w:rsidR="00847EDC" w:rsidRPr="00847EDC">
        <w:rPr>
          <w:rFonts w:ascii="PT Astra Serif" w:hAnsi="PT Astra Serif"/>
          <w:sz w:val="24"/>
          <w:szCs w:val="24"/>
        </w:rPr>
        <w:t>казание услуг по передаче неисключительных прав на использование программного обеспечения</w:t>
      </w:r>
    </w:p>
    <w:p w:rsidR="00CA6A18" w:rsidRPr="001704B8" w:rsidRDefault="00CA6A18" w:rsidP="00CA6A18">
      <w:pPr>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847EDC" w:rsidP="00CA6A18">
            <w:pPr>
              <w:pStyle w:val="Default"/>
              <w:jc w:val="both"/>
              <w:rPr>
                <w:rFonts w:ascii="PT Astra Serif" w:hAnsi="PT Astra Serif" w:cs="Tahoma"/>
                <w:szCs w:val="24"/>
              </w:rPr>
            </w:pPr>
            <w:r w:rsidRPr="00847EDC">
              <w:rPr>
                <w:rFonts w:ascii="PT Astra Serif" w:hAnsi="PT Astra Serif"/>
                <w:szCs w:val="24"/>
              </w:rPr>
              <w:t>Оказание услуг по передаче неисключительных прав на использование программного обеспечения</w:t>
            </w:r>
            <w:r>
              <w:rPr>
                <w:rFonts w:ascii="PT Astra Serif" w:hAnsi="PT Astra Serif"/>
                <w:szCs w:val="24"/>
              </w:rPr>
              <w:t xml:space="preserve"> </w:t>
            </w:r>
            <w:r w:rsidRPr="00847EDC">
              <w:rPr>
                <w:rFonts w:ascii="PT Astra Serif" w:hAnsi="PT Astra Serif"/>
                <w:szCs w:val="24"/>
              </w:rPr>
              <w:t>Kaspersky Endpoint Security для бизнеса - Расширенный Russian Edition</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847EDC" w:rsidP="00A547F3">
            <w:pPr>
              <w:jc w:val="center"/>
              <w:rPr>
                <w:rFonts w:ascii="PT Astra Serif" w:eastAsia="Arial" w:hAnsi="PT Astra Serif" w:cs="Tahoma"/>
                <w:sz w:val="24"/>
                <w:szCs w:val="24"/>
              </w:rPr>
            </w:pPr>
            <w:r>
              <w:rPr>
                <w:rFonts w:ascii="PT Astra Serif" w:eastAsia="Arial" w:hAnsi="PT Astra Serif" w:cs="Tahoma"/>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5"/>
      <w:footerReference w:type="first" r:id="rId16"/>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762" w:rsidRDefault="004A3762">
      <w:r>
        <w:separator/>
      </w:r>
    </w:p>
  </w:endnote>
  <w:endnote w:type="continuationSeparator" w:id="0">
    <w:p w:rsidR="004A3762" w:rsidRDefault="004A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F10F53">
          <w:rPr>
            <w:noProof/>
          </w:rPr>
          <w:t>15</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762" w:rsidRDefault="004A3762">
      <w:r>
        <w:separator/>
      </w:r>
    </w:p>
  </w:footnote>
  <w:footnote w:type="continuationSeparator" w:id="0">
    <w:p w:rsidR="004A3762" w:rsidRDefault="004A3762">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B727F"/>
    <w:rsid w:val="003C33C0"/>
    <w:rsid w:val="003C6043"/>
    <w:rsid w:val="003E139B"/>
    <w:rsid w:val="003F0827"/>
    <w:rsid w:val="003F570D"/>
    <w:rsid w:val="00411FA2"/>
    <w:rsid w:val="0042067A"/>
    <w:rsid w:val="00427429"/>
    <w:rsid w:val="0044717D"/>
    <w:rsid w:val="00476BAE"/>
    <w:rsid w:val="00480EA8"/>
    <w:rsid w:val="00487730"/>
    <w:rsid w:val="00494F12"/>
    <w:rsid w:val="004A3762"/>
    <w:rsid w:val="004C3828"/>
    <w:rsid w:val="004D7417"/>
    <w:rsid w:val="004E0BF7"/>
    <w:rsid w:val="004E15E2"/>
    <w:rsid w:val="004F70F1"/>
    <w:rsid w:val="0051158D"/>
    <w:rsid w:val="00521B5A"/>
    <w:rsid w:val="00535A83"/>
    <w:rsid w:val="00542DCF"/>
    <w:rsid w:val="00555706"/>
    <w:rsid w:val="00566D18"/>
    <w:rsid w:val="00567EF5"/>
    <w:rsid w:val="005716CE"/>
    <w:rsid w:val="005721EE"/>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5008C"/>
    <w:rsid w:val="0065498E"/>
    <w:rsid w:val="00670849"/>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85C02"/>
    <w:rsid w:val="007A0323"/>
    <w:rsid w:val="007A3D3C"/>
    <w:rsid w:val="007A40CC"/>
    <w:rsid w:val="007A666C"/>
    <w:rsid w:val="007B5A81"/>
    <w:rsid w:val="007C7869"/>
    <w:rsid w:val="007D438B"/>
    <w:rsid w:val="007F3B4D"/>
    <w:rsid w:val="007F69A7"/>
    <w:rsid w:val="00811B68"/>
    <w:rsid w:val="00812495"/>
    <w:rsid w:val="00845BD2"/>
    <w:rsid w:val="00847EDC"/>
    <w:rsid w:val="0086000C"/>
    <w:rsid w:val="00860616"/>
    <w:rsid w:val="00873C80"/>
    <w:rsid w:val="008852B8"/>
    <w:rsid w:val="00890B82"/>
    <w:rsid w:val="00894E9D"/>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141C"/>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2474"/>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7B44"/>
    <w:rsid w:val="00F10F53"/>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178F"/>
  <w15:docId w15:val="{E5AAA29F-E8B6-4D5B-BBDE-6940B903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2132-56AE-4BBE-896A-F23009C2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5959</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46</cp:revision>
  <cp:lastPrinted>2021-02-15T06:19:00Z</cp:lastPrinted>
  <dcterms:created xsi:type="dcterms:W3CDTF">2020-01-31T05:12:00Z</dcterms:created>
  <dcterms:modified xsi:type="dcterms:W3CDTF">2021-02-24T04:54:00Z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