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w:t>
      </w:r>
      <w:proofErr w:type="gramStart"/>
      <w:r w:rsidRPr="006968B2">
        <w:rPr>
          <w:rFonts w:ascii="PT Astra Serif" w:hAnsi="PT Astra Serif" w:cs="Times New Roman"/>
          <w:b/>
          <w:sz w:val="24"/>
          <w:szCs w:val="24"/>
        </w:rPr>
        <w:t>ИИ АУ</w:t>
      </w:r>
      <w:proofErr w:type="gramEnd"/>
      <w:r w:rsidRPr="006968B2">
        <w:rPr>
          <w:rFonts w:ascii="PT Astra Serif" w:hAnsi="PT Astra Serif" w:cs="Times New Roman"/>
          <w:b/>
          <w:sz w:val="24"/>
          <w:szCs w:val="24"/>
        </w:rPr>
        <w:t>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35015A" w:rsidRPr="0035015A">
        <w:rPr>
          <w:rFonts w:ascii="PT Astra Serif" w:hAnsi="PT Astra Serif"/>
        </w:rPr>
        <w:t xml:space="preserve"> </w:t>
      </w:r>
      <w:r w:rsidR="00010FA3" w:rsidRPr="00010FA3">
        <w:rPr>
          <w:rFonts w:ascii="PT Astra Serif" w:hAnsi="PT Astra Serif"/>
        </w:rPr>
        <w:t>203862200236886220100100</w:t>
      </w:r>
      <w:r w:rsidR="005927CB">
        <w:rPr>
          <w:rFonts w:ascii="PT Astra Serif" w:hAnsi="PT Astra Serif"/>
        </w:rPr>
        <w:t>20</w:t>
      </w:r>
      <w:r w:rsidR="00010FA3" w:rsidRPr="00010FA3">
        <w:rPr>
          <w:rFonts w:ascii="PT Astra Serif" w:hAnsi="PT Astra Serif"/>
        </w:rPr>
        <w:t>00</w:t>
      </w:r>
      <w:r w:rsidR="002A3AAA" w:rsidRPr="009444CE">
        <w:rPr>
          <w:rFonts w:ascii="PT Astra Serif" w:hAnsi="PT Astra Serif"/>
        </w:rPr>
        <w:t>1</w:t>
      </w:r>
      <w:r w:rsidR="00A346BC">
        <w:rPr>
          <w:rFonts w:ascii="PT Astra Serif" w:hAnsi="PT Astra Serif"/>
        </w:rPr>
        <w:t>2</w:t>
      </w:r>
      <w:r w:rsidR="005927CB">
        <w:rPr>
          <w:rFonts w:ascii="PT Astra Serif" w:hAnsi="PT Astra Serif"/>
        </w:rPr>
        <w:t>8</w:t>
      </w:r>
      <w:r w:rsidR="00A346BC">
        <w:rPr>
          <w:rFonts w:ascii="PT Astra Serif" w:hAnsi="PT Astra Serif"/>
        </w:rPr>
        <w:t>2</w:t>
      </w:r>
      <w:r w:rsidR="005927CB">
        <w:rPr>
          <w:rFonts w:ascii="PT Astra Serif" w:hAnsi="PT Astra Serif"/>
        </w:rPr>
        <w:t>5</w:t>
      </w:r>
      <w:r w:rsidR="00010FA3" w:rsidRPr="00010FA3">
        <w:rPr>
          <w:rFonts w:ascii="PT Astra Serif" w:hAnsi="PT Astra Serif"/>
        </w:rPr>
        <w:t>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w:t>
      </w:r>
      <w:r w:rsidR="005927CB">
        <w:rPr>
          <w:rFonts w:ascii="PT Astra Serif" w:hAnsi="PT Astra Serif"/>
          <w:u w:val="single"/>
        </w:rPr>
        <w:t xml:space="preserve"> и монтаж</w:t>
      </w:r>
      <w:r w:rsidRPr="006968B2">
        <w:rPr>
          <w:rFonts w:ascii="PT Astra Serif" w:hAnsi="PT Astra Serif"/>
          <w:u w:val="single"/>
        </w:rPr>
        <w:t xml:space="preserve"> </w:t>
      </w:r>
      <w:r w:rsidR="005927CB">
        <w:rPr>
          <w:rFonts w:ascii="PT Astra Serif" w:hAnsi="PT Astra Serif"/>
          <w:u w:val="single"/>
        </w:rPr>
        <w:t>кондиционера</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w:t>
      </w:r>
      <w:proofErr w:type="spellStart"/>
      <w:r w:rsidRPr="006968B2">
        <w:rPr>
          <w:rFonts w:ascii="PT Astra Serif" w:hAnsi="PT Astra Serif"/>
          <w:u w:val="single"/>
        </w:rPr>
        <w:t>Дергилев</w:t>
      </w:r>
      <w:proofErr w:type="spellEnd"/>
      <w:r w:rsidRPr="006968B2">
        <w:rPr>
          <w:rFonts w:ascii="PT Astra Serif" w:hAnsi="PT Astra Serif"/>
          <w:u w:val="single"/>
        </w:rPr>
        <w:t xml:space="preserve">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F41068" w:rsidRPr="006968B2" w:rsidTr="00BF4C41">
        <w:tc>
          <w:tcPr>
            <w:tcW w:w="426" w:type="dxa"/>
            <w:tcBorders>
              <w:top w:val="single" w:sz="4" w:space="0" w:color="000000"/>
              <w:left w:val="single" w:sz="4" w:space="0" w:color="000000"/>
              <w:bottom w:val="single" w:sz="4" w:space="0" w:color="000000"/>
            </w:tcBorders>
            <w:shd w:val="clear" w:color="auto" w:fill="auto"/>
          </w:tcPr>
          <w:p w:rsidR="00F41068" w:rsidRPr="006968B2" w:rsidRDefault="00F41068" w:rsidP="00F41068">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F41068" w:rsidRPr="006968B2" w:rsidRDefault="00F41068" w:rsidP="00F175C4">
            <w:pPr>
              <w:rPr>
                <w:rFonts w:ascii="PT Astra Serif" w:hAnsi="PT Astra Serif"/>
              </w:rPr>
            </w:pPr>
            <w:r w:rsidRPr="006968B2">
              <w:rPr>
                <w:rFonts w:ascii="PT Astra Serif" w:hAnsi="PT Astra Serif"/>
                <w:sz w:val="18"/>
              </w:rPr>
              <w:t>2</w:t>
            </w:r>
            <w:r>
              <w:rPr>
                <w:rFonts w:ascii="PT Astra Serif" w:hAnsi="PT Astra Serif"/>
                <w:sz w:val="18"/>
                <w:lang w:val="en-US"/>
              </w:rPr>
              <w:t>8</w:t>
            </w:r>
            <w:r w:rsidRPr="006968B2">
              <w:rPr>
                <w:rFonts w:ascii="PT Astra Serif" w:hAnsi="PT Astra Serif"/>
                <w:sz w:val="18"/>
              </w:rPr>
              <w:t>.2</w:t>
            </w:r>
            <w:r>
              <w:rPr>
                <w:rFonts w:ascii="PT Astra Serif" w:hAnsi="PT Astra Serif"/>
                <w:sz w:val="18"/>
                <w:lang w:val="en-US"/>
              </w:rPr>
              <w:t>5</w:t>
            </w:r>
            <w:r w:rsidRPr="006968B2">
              <w:rPr>
                <w:rFonts w:ascii="PT Astra Serif" w:hAnsi="PT Astra Serif"/>
                <w:sz w:val="18"/>
              </w:rPr>
              <w:t>.1</w:t>
            </w:r>
            <w:r>
              <w:rPr>
                <w:rFonts w:ascii="PT Astra Serif" w:hAnsi="PT Astra Serif"/>
                <w:sz w:val="18"/>
                <w:lang w:val="en-US"/>
              </w:rPr>
              <w:t>2</w:t>
            </w:r>
            <w:r w:rsidRPr="006968B2">
              <w:rPr>
                <w:rFonts w:ascii="PT Astra Serif" w:hAnsi="PT Astra Serif"/>
                <w:sz w:val="18"/>
              </w:rPr>
              <w:t>.1</w:t>
            </w:r>
            <w:r w:rsidR="00F175C4">
              <w:rPr>
                <w:rFonts w:ascii="PT Astra Serif" w:hAnsi="PT Astra Serif"/>
                <w:sz w:val="18"/>
                <w:lang w:val="en-US"/>
              </w:rPr>
              <w:t>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F41068" w:rsidRPr="00F175C4" w:rsidRDefault="00F41068" w:rsidP="00F175C4">
            <w:pPr>
              <w:autoSpaceDE w:val="0"/>
              <w:rPr>
                <w:rFonts w:ascii="PT Astra Serif" w:hAnsi="PT Astra Serif"/>
              </w:rPr>
            </w:pPr>
            <w:r>
              <w:rPr>
                <w:rFonts w:ascii="PT Astra Serif" w:hAnsi="PT Astra Serif"/>
                <w:sz w:val="20"/>
                <w:szCs w:val="20"/>
              </w:rPr>
              <w:t>К</w:t>
            </w:r>
            <w:r w:rsidRPr="00C63DDF">
              <w:rPr>
                <w:rFonts w:ascii="PT Astra Serif" w:hAnsi="PT Astra Serif"/>
                <w:sz w:val="20"/>
                <w:szCs w:val="20"/>
              </w:rPr>
              <w:t>ондиционер</w:t>
            </w:r>
            <w:r w:rsidR="00F175C4">
              <w:rPr>
                <w:rFonts w:ascii="PT Astra Serif" w:hAnsi="PT Astra Serif"/>
                <w:sz w:val="20"/>
                <w:szCs w:val="20"/>
                <w:lang w:val="en-US"/>
              </w:rPr>
              <w:t xml:space="preserve"> </w:t>
            </w:r>
            <w:r w:rsidR="00F175C4">
              <w:rPr>
                <w:rFonts w:ascii="PT Astra Serif" w:hAnsi="PT Astra Serif"/>
                <w:sz w:val="20"/>
                <w:szCs w:val="20"/>
              </w:rPr>
              <w:t>промышленный</w:t>
            </w:r>
          </w:p>
        </w:tc>
        <w:tc>
          <w:tcPr>
            <w:tcW w:w="3969" w:type="dxa"/>
            <w:tcBorders>
              <w:top w:val="single" w:sz="4" w:space="0" w:color="000000"/>
              <w:left w:val="single" w:sz="4" w:space="0" w:color="000000"/>
              <w:bottom w:val="single" w:sz="4" w:space="0" w:color="000000"/>
            </w:tcBorders>
            <w:shd w:val="clear" w:color="auto" w:fill="auto"/>
          </w:tcPr>
          <w:p w:rsidR="00F41068" w:rsidRPr="00C63DDF" w:rsidRDefault="00F41068" w:rsidP="00F41068">
            <w:pPr>
              <w:jc w:val="both"/>
              <w:rPr>
                <w:rFonts w:ascii="PT Astra Serif" w:hAnsi="PT Astra Serif"/>
                <w:sz w:val="18"/>
                <w:szCs w:val="16"/>
              </w:rPr>
            </w:pPr>
            <w:r>
              <w:rPr>
                <w:rFonts w:ascii="PT Astra Serif" w:hAnsi="PT Astra Serif"/>
                <w:sz w:val="18"/>
                <w:szCs w:val="16"/>
              </w:rPr>
              <w:t>Поставка и монтаж кассетного кондиционера</w:t>
            </w:r>
            <w:r w:rsidRPr="00C63DDF">
              <w:rPr>
                <w:rFonts w:ascii="PT Astra Serif" w:hAnsi="PT Astra Serif"/>
                <w:sz w:val="18"/>
                <w:szCs w:val="16"/>
              </w:rPr>
              <w:t xml:space="preserve"> инверторного типа для охлаждения серверной комнаты.</w:t>
            </w:r>
          </w:p>
          <w:p w:rsidR="00F41068" w:rsidRPr="00F41068" w:rsidRDefault="00F41068" w:rsidP="00F41068">
            <w:pPr>
              <w:jc w:val="both"/>
              <w:rPr>
                <w:rFonts w:ascii="PT Astra Serif" w:hAnsi="PT Astra Serif"/>
                <w:sz w:val="18"/>
                <w:szCs w:val="16"/>
                <w:u w:val="single"/>
              </w:rPr>
            </w:pPr>
            <w:r w:rsidRPr="00F41068">
              <w:rPr>
                <w:rFonts w:ascii="PT Astra Serif" w:hAnsi="PT Astra Serif"/>
                <w:sz w:val="18"/>
                <w:szCs w:val="16"/>
                <w:u w:val="single"/>
              </w:rPr>
              <w:t>Характеристики устройства:</w:t>
            </w:r>
          </w:p>
          <w:p w:rsidR="00BC0309" w:rsidRDefault="00BC0309" w:rsidP="00F41068">
            <w:pPr>
              <w:jc w:val="both"/>
              <w:rPr>
                <w:rFonts w:ascii="PT Astra Serif" w:hAnsi="PT Astra Serif"/>
                <w:sz w:val="18"/>
                <w:szCs w:val="16"/>
              </w:rPr>
            </w:pPr>
            <w:r>
              <w:rPr>
                <w:rFonts w:ascii="PT Astra Serif" w:hAnsi="PT Astra Serif"/>
                <w:sz w:val="18"/>
                <w:szCs w:val="16"/>
              </w:rPr>
              <w:t>- вид кондиционера: сплит-система инверторного типа;</w:t>
            </w:r>
          </w:p>
          <w:p w:rsidR="00BC0309" w:rsidRDefault="00BC0309" w:rsidP="00F41068">
            <w:pPr>
              <w:jc w:val="both"/>
              <w:rPr>
                <w:rFonts w:ascii="PT Astra Serif" w:hAnsi="PT Astra Serif"/>
                <w:sz w:val="18"/>
                <w:szCs w:val="16"/>
              </w:rPr>
            </w:pPr>
            <w:r>
              <w:rPr>
                <w:rFonts w:ascii="PT Astra Serif" w:hAnsi="PT Astra Serif"/>
                <w:sz w:val="18"/>
                <w:szCs w:val="16"/>
              </w:rPr>
              <w:t>- тип внутреннего блока: кассетный;</w:t>
            </w:r>
          </w:p>
          <w:p w:rsidR="00BC0309" w:rsidRDefault="00BC0309" w:rsidP="00F41068">
            <w:pPr>
              <w:jc w:val="both"/>
              <w:rPr>
                <w:rFonts w:ascii="PT Astra Serif" w:hAnsi="PT Astra Serif"/>
                <w:sz w:val="18"/>
                <w:szCs w:val="16"/>
              </w:rPr>
            </w:pPr>
            <w:r>
              <w:rPr>
                <w:rFonts w:ascii="PT Astra Serif" w:hAnsi="PT Astra Serif"/>
                <w:sz w:val="18"/>
                <w:szCs w:val="16"/>
              </w:rPr>
              <w:t xml:space="preserve">- тип монтажа: </w:t>
            </w:r>
            <w:r w:rsidRPr="00BC0309">
              <w:rPr>
                <w:rFonts w:ascii="PT Astra Serif" w:hAnsi="PT Astra Serif"/>
                <w:sz w:val="18"/>
                <w:szCs w:val="16"/>
              </w:rPr>
              <w:t>в помещени</w:t>
            </w:r>
            <w:r>
              <w:rPr>
                <w:rFonts w:ascii="PT Astra Serif" w:hAnsi="PT Astra Serif"/>
                <w:sz w:val="18"/>
                <w:szCs w:val="16"/>
              </w:rPr>
              <w:t>и</w:t>
            </w:r>
            <w:r w:rsidRPr="00BC0309">
              <w:rPr>
                <w:rFonts w:ascii="PT Astra Serif" w:hAnsi="PT Astra Serif"/>
                <w:sz w:val="18"/>
                <w:szCs w:val="16"/>
              </w:rPr>
              <w:t xml:space="preserve"> с подвесным потолк</w:t>
            </w:r>
            <w:r>
              <w:rPr>
                <w:rFonts w:ascii="PT Astra Serif" w:hAnsi="PT Astra Serif"/>
                <w:sz w:val="18"/>
                <w:szCs w:val="16"/>
              </w:rPr>
              <w:t>о</w:t>
            </w:r>
            <w:r w:rsidRPr="00BC0309">
              <w:rPr>
                <w:rFonts w:ascii="PT Astra Serif" w:hAnsi="PT Astra Serif"/>
                <w:sz w:val="18"/>
                <w:szCs w:val="16"/>
              </w:rPr>
              <w:t>м</w:t>
            </w:r>
            <w:r>
              <w:rPr>
                <w:rFonts w:ascii="PT Astra Serif" w:hAnsi="PT Astra Serif"/>
                <w:sz w:val="18"/>
                <w:szCs w:val="16"/>
              </w:rPr>
              <w:t xml:space="preserve"> (</w:t>
            </w:r>
            <w:r w:rsidRPr="00BC0309">
              <w:rPr>
                <w:rFonts w:ascii="PT Astra Serif" w:hAnsi="PT Astra Serif"/>
                <w:sz w:val="18"/>
                <w:szCs w:val="16"/>
              </w:rPr>
              <w:t>монтажный размер ячейки 600</w:t>
            </w:r>
            <w:r>
              <w:rPr>
                <w:rFonts w:ascii="PT Astra Serif" w:hAnsi="PT Astra Serif"/>
                <w:sz w:val="18"/>
                <w:szCs w:val="16"/>
              </w:rPr>
              <w:t>х</w:t>
            </w:r>
            <w:r w:rsidRPr="00BC0309">
              <w:rPr>
                <w:rFonts w:ascii="PT Astra Serif" w:hAnsi="PT Astra Serif"/>
                <w:sz w:val="18"/>
                <w:szCs w:val="16"/>
              </w:rPr>
              <w:t>600 мм)</w:t>
            </w:r>
            <w:r>
              <w:rPr>
                <w:rFonts w:ascii="PT Astra Serif" w:hAnsi="PT Astra Serif"/>
                <w:sz w:val="18"/>
                <w:szCs w:val="16"/>
              </w:rPr>
              <w:t>;</w:t>
            </w:r>
          </w:p>
          <w:p w:rsidR="00F41068" w:rsidRPr="00C63DDF" w:rsidRDefault="00F41068" w:rsidP="00F41068">
            <w:pPr>
              <w:jc w:val="both"/>
              <w:rPr>
                <w:rFonts w:ascii="PT Astra Serif" w:hAnsi="PT Astra Serif"/>
                <w:sz w:val="18"/>
                <w:szCs w:val="16"/>
              </w:rPr>
            </w:pPr>
            <w:r w:rsidRPr="00C63DDF">
              <w:rPr>
                <w:rFonts w:ascii="PT Astra Serif" w:hAnsi="PT Astra Serif"/>
                <w:sz w:val="18"/>
                <w:szCs w:val="16"/>
              </w:rPr>
              <w:t xml:space="preserve">- режимы работы: охлаждение, вентиляция, осушение; </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мощность в режиме охлаждения: не менее 13,3 кВт;</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наличие трёхфазного электропитания 380</w:t>
            </w:r>
            <w:proofErr w:type="gramStart"/>
            <w:r w:rsidRPr="0007546A">
              <w:rPr>
                <w:rFonts w:ascii="PT Astra Serif" w:hAnsi="PT Astra Serif"/>
                <w:sz w:val="18"/>
                <w:szCs w:val="16"/>
              </w:rPr>
              <w:t xml:space="preserve"> В</w:t>
            </w:r>
            <w:proofErr w:type="gramEnd"/>
            <w:r w:rsidRPr="0007546A">
              <w:rPr>
                <w:rFonts w:ascii="PT Astra Serif" w:hAnsi="PT Astra Serif"/>
                <w:sz w:val="18"/>
                <w:szCs w:val="16"/>
              </w:rPr>
              <w:t>, 50 Гц;</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наличие режима осушения воздуха;</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xml:space="preserve">- потребляемая мощность при охлаждении – не более </w:t>
            </w:r>
            <w:r>
              <w:rPr>
                <w:rFonts w:ascii="PT Astra Serif" w:hAnsi="PT Astra Serif"/>
                <w:sz w:val="18"/>
                <w:szCs w:val="16"/>
              </w:rPr>
              <w:t>5</w:t>
            </w:r>
            <w:r w:rsidRPr="0007546A">
              <w:rPr>
                <w:rFonts w:ascii="PT Astra Serif" w:hAnsi="PT Astra Serif"/>
                <w:sz w:val="18"/>
                <w:szCs w:val="16"/>
              </w:rPr>
              <w:t>,</w:t>
            </w:r>
            <w:r>
              <w:rPr>
                <w:rFonts w:ascii="PT Astra Serif" w:hAnsi="PT Astra Serif"/>
                <w:sz w:val="18"/>
                <w:szCs w:val="16"/>
              </w:rPr>
              <w:t>0</w:t>
            </w:r>
            <w:r w:rsidRPr="0007546A">
              <w:rPr>
                <w:rFonts w:ascii="PT Astra Serif" w:hAnsi="PT Astra Serif"/>
                <w:sz w:val="18"/>
                <w:szCs w:val="16"/>
              </w:rPr>
              <w:t xml:space="preserve"> кВт;</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xml:space="preserve">- уровень шума внутреннего блока – не более </w:t>
            </w:r>
            <w:r>
              <w:rPr>
                <w:rFonts w:ascii="PT Astra Serif" w:hAnsi="PT Astra Serif"/>
                <w:sz w:val="18"/>
                <w:szCs w:val="16"/>
              </w:rPr>
              <w:t>60</w:t>
            </w:r>
            <w:r w:rsidRPr="0007546A">
              <w:rPr>
                <w:rFonts w:ascii="PT Astra Serif" w:hAnsi="PT Astra Serif"/>
                <w:sz w:val="18"/>
                <w:szCs w:val="16"/>
              </w:rPr>
              <w:t xml:space="preserve"> дБ;</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xml:space="preserve">- наличие </w:t>
            </w:r>
            <w:proofErr w:type="gramStart"/>
            <w:r w:rsidRPr="0007546A">
              <w:rPr>
                <w:rFonts w:ascii="PT Astra Serif" w:hAnsi="PT Astra Serif"/>
                <w:sz w:val="18"/>
                <w:szCs w:val="16"/>
              </w:rPr>
              <w:t>информационного</w:t>
            </w:r>
            <w:proofErr w:type="gramEnd"/>
            <w:r w:rsidRPr="0007546A">
              <w:rPr>
                <w:rFonts w:ascii="PT Astra Serif" w:hAnsi="PT Astra Serif"/>
                <w:sz w:val="18"/>
                <w:szCs w:val="16"/>
              </w:rPr>
              <w:t xml:space="preserve"> LED-дисплея;</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наличие проводного пульта управления;</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наличие режима самодиагностики;</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наличие датчика обнаружения утечек;</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наличие фильтра тонкой очистки;</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максимальная длина магистрали – не менее 50 м;</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xml:space="preserve">- вес внутреннего блока – не более </w:t>
            </w:r>
            <w:r>
              <w:rPr>
                <w:rFonts w:ascii="PT Astra Serif" w:hAnsi="PT Astra Serif"/>
                <w:sz w:val="18"/>
                <w:szCs w:val="16"/>
              </w:rPr>
              <w:t>30</w:t>
            </w:r>
            <w:r w:rsidRPr="0007546A">
              <w:rPr>
                <w:rFonts w:ascii="PT Astra Serif" w:hAnsi="PT Astra Serif"/>
                <w:sz w:val="18"/>
                <w:szCs w:val="16"/>
              </w:rPr>
              <w:t>,0 кг;</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lastRenderedPageBreak/>
              <w:t xml:space="preserve">- вес наружного блока – не более </w:t>
            </w:r>
            <w:r>
              <w:rPr>
                <w:rFonts w:ascii="PT Astra Serif" w:hAnsi="PT Astra Serif"/>
                <w:sz w:val="18"/>
                <w:szCs w:val="16"/>
              </w:rPr>
              <w:t>80,0</w:t>
            </w:r>
            <w:r w:rsidRPr="0007546A">
              <w:rPr>
                <w:rFonts w:ascii="PT Astra Serif" w:hAnsi="PT Astra Serif"/>
                <w:sz w:val="18"/>
                <w:szCs w:val="16"/>
              </w:rPr>
              <w:t xml:space="preserve"> кг;</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наличие антикоррозийного покрытия наружного блока;</w:t>
            </w:r>
          </w:p>
          <w:p w:rsidR="00F41068" w:rsidRPr="0007546A" w:rsidRDefault="00F41068" w:rsidP="00F41068">
            <w:pPr>
              <w:jc w:val="both"/>
              <w:rPr>
                <w:rFonts w:ascii="PT Astra Serif" w:hAnsi="PT Astra Serif"/>
                <w:sz w:val="18"/>
                <w:szCs w:val="16"/>
              </w:rPr>
            </w:pPr>
            <w:r w:rsidRPr="0007546A">
              <w:rPr>
                <w:rFonts w:ascii="PT Astra Serif" w:hAnsi="PT Astra Serif"/>
                <w:sz w:val="18"/>
                <w:szCs w:val="16"/>
              </w:rPr>
              <w:t>- максимальная рабочая температура при охлаждении – не менее 50</w:t>
            </w:r>
            <w:proofErr w:type="gramStart"/>
            <w:r w:rsidRPr="0007546A">
              <w:rPr>
                <w:rFonts w:ascii="PT Astra Serif" w:hAnsi="PT Astra Serif"/>
                <w:sz w:val="18"/>
                <w:szCs w:val="16"/>
              </w:rPr>
              <w:t>°С</w:t>
            </w:r>
            <w:proofErr w:type="gramEnd"/>
            <w:r w:rsidRPr="0007546A">
              <w:rPr>
                <w:rFonts w:ascii="PT Astra Serif" w:hAnsi="PT Astra Serif"/>
                <w:sz w:val="18"/>
                <w:szCs w:val="16"/>
              </w:rPr>
              <w:t>;</w:t>
            </w:r>
          </w:p>
          <w:p w:rsidR="00F41068" w:rsidRPr="00FA6D22" w:rsidRDefault="00F41068" w:rsidP="00F41068">
            <w:pPr>
              <w:jc w:val="both"/>
              <w:rPr>
                <w:rFonts w:ascii="PT Astra Serif" w:hAnsi="PT Astra Serif"/>
                <w:sz w:val="16"/>
                <w:szCs w:val="16"/>
              </w:rPr>
            </w:pPr>
            <w:r w:rsidRPr="0007546A">
              <w:rPr>
                <w:rFonts w:ascii="PT Astra Serif" w:hAnsi="PT Astra Serif"/>
                <w:sz w:val="18"/>
                <w:szCs w:val="16"/>
              </w:rPr>
              <w:t>- минимальная рабочая температура при охлаждении – не менее -15°С.</w:t>
            </w:r>
          </w:p>
        </w:tc>
        <w:tc>
          <w:tcPr>
            <w:tcW w:w="567" w:type="dxa"/>
            <w:tcBorders>
              <w:top w:val="single" w:sz="4" w:space="0" w:color="000000"/>
              <w:left w:val="single" w:sz="4" w:space="0" w:color="000000"/>
              <w:bottom w:val="single" w:sz="4" w:space="0" w:color="000000"/>
            </w:tcBorders>
            <w:shd w:val="clear" w:color="auto" w:fill="auto"/>
          </w:tcPr>
          <w:p w:rsidR="00F41068" w:rsidRPr="006968B2" w:rsidRDefault="00F41068" w:rsidP="00F41068">
            <w:pPr>
              <w:autoSpaceDE w:val="0"/>
              <w:jc w:val="center"/>
              <w:rPr>
                <w:rFonts w:ascii="PT Astra Serif" w:hAnsi="PT Astra Serif"/>
              </w:rPr>
            </w:pPr>
            <w:r w:rsidRPr="006968B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F41068" w:rsidRPr="00FC51D9" w:rsidRDefault="00F41068" w:rsidP="00F41068">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F41068" w:rsidRPr="006968B2" w:rsidRDefault="00F41068" w:rsidP="00F41068">
            <w:pPr>
              <w:autoSpaceDE w:val="0"/>
              <w:jc w:val="center"/>
              <w:rPr>
                <w:rFonts w:ascii="PT Astra Serif" w:hAnsi="PT Astra Serif"/>
              </w:rPr>
            </w:pPr>
            <w:r>
              <w:rPr>
                <w:rFonts w:ascii="PT Astra Serif" w:hAnsi="PT Astra Serif"/>
                <w:sz w:val="20"/>
                <w:szCs w:val="20"/>
              </w:rPr>
              <w:t>194</w:t>
            </w:r>
            <w:r w:rsidRPr="006968B2">
              <w:rPr>
                <w:rFonts w:ascii="PT Astra Serif" w:hAnsi="PT Astra Serif"/>
                <w:sz w:val="20"/>
                <w:szCs w:val="20"/>
              </w:rPr>
              <w:t xml:space="preserve"> </w:t>
            </w:r>
            <w:r>
              <w:rPr>
                <w:rFonts w:ascii="PT Astra Serif" w:hAnsi="PT Astra Serif"/>
                <w:sz w:val="20"/>
                <w:szCs w:val="20"/>
              </w:rPr>
              <w:t>996</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41068" w:rsidRPr="006968B2" w:rsidRDefault="00F41068" w:rsidP="00F41068">
            <w:pPr>
              <w:autoSpaceDE w:val="0"/>
              <w:jc w:val="center"/>
              <w:rPr>
                <w:rFonts w:ascii="PT Astra Serif" w:hAnsi="PT Astra Serif"/>
              </w:rPr>
            </w:pPr>
            <w:r w:rsidRPr="005927CB">
              <w:rPr>
                <w:rFonts w:ascii="PT Astra Serif" w:hAnsi="PT Astra Serif"/>
                <w:sz w:val="20"/>
                <w:szCs w:val="20"/>
              </w:rPr>
              <w:t>194 996,00</w:t>
            </w:r>
          </w:p>
        </w:tc>
      </w:tr>
      <w:tr w:rsidR="00761EBF"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E1B43" w:rsidP="007E1B43">
            <w:pPr>
              <w:autoSpaceDE w:val="0"/>
              <w:jc w:val="center"/>
              <w:rPr>
                <w:rFonts w:ascii="PT Astra Serif" w:hAnsi="PT Astra Serif"/>
              </w:rPr>
            </w:pPr>
            <w:r>
              <w:rPr>
                <w:rFonts w:ascii="PT Astra Serif" w:hAnsi="PT Astra Serif"/>
                <w:b/>
                <w:sz w:val="20"/>
                <w:szCs w:val="20"/>
              </w:rPr>
              <w:t>194</w:t>
            </w:r>
            <w:r w:rsidR="00761EBF" w:rsidRPr="00F26A34">
              <w:rPr>
                <w:rFonts w:ascii="PT Astra Serif" w:hAnsi="PT Astra Serif"/>
                <w:b/>
                <w:sz w:val="20"/>
                <w:szCs w:val="20"/>
              </w:rPr>
              <w:t xml:space="preserve"> </w:t>
            </w:r>
            <w:r>
              <w:rPr>
                <w:rFonts w:ascii="PT Astra Serif" w:hAnsi="PT Astra Serif"/>
                <w:b/>
                <w:sz w:val="20"/>
                <w:szCs w:val="20"/>
              </w:rPr>
              <w:t>996</w:t>
            </w:r>
            <w:r w:rsidR="00761EBF" w:rsidRPr="00F26A34">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931698">
        <w:rPr>
          <w:rFonts w:ascii="PT Astra Serif" w:hAnsi="PT Astra Serif"/>
          <w:u w:val="single"/>
        </w:rPr>
        <w:t>1</w:t>
      </w:r>
      <w:r w:rsidR="00C63DDF" w:rsidRPr="00C63DDF">
        <w:rPr>
          <w:rFonts w:ascii="PT Astra Serif" w:hAnsi="PT Astra Serif"/>
          <w:u w:val="single"/>
        </w:rPr>
        <w:t>.</w:t>
      </w:r>
      <w:r w:rsidR="00A518EF">
        <w:rPr>
          <w:rFonts w:ascii="PT Astra Serif" w:hAnsi="PT Astra Serif"/>
          <w:u w:val="single"/>
        </w:rPr>
        <w:t>0</w:t>
      </w:r>
      <w:r w:rsidR="00F175C4">
        <w:rPr>
          <w:rFonts w:ascii="PT Astra Serif" w:hAnsi="PT Astra Serif"/>
          <w:u w:val="single"/>
        </w:rPr>
        <w:t>8</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Югорска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proofErr w:type="gramStart"/>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proofErr w:type="gramStart"/>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68B2">
        <w:rPr>
          <w:rFonts w:ascii="PT Astra Serif" w:hAnsi="PT Astra Serif"/>
        </w:rPr>
        <w:t xml:space="preserve"> обязанности </w:t>
      </w:r>
      <w:proofErr w:type="gramStart"/>
      <w:r w:rsidRPr="006968B2">
        <w:rPr>
          <w:rFonts w:ascii="PT Astra Serif" w:hAnsi="PT Astra Serif"/>
        </w:rPr>
        <w:t>заявителя</w:t>
      </w:r>
      <w:proofErr w:type="gramEnd"/>
      <w:r w:rsidRPr="006968B2">
        <w:rPr>
          <w:rFonts w:ascii="PT Astra Serif" w:hAnsi="PT Astra Serif"/>
        </w:rPr>
        <w:t xml:space="preserve">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68B2">
        <w:rPr>
          <w:rFonts w:ascii="PT Astra Serif" w:hAnsi="PT Astra Serif"/>
        </w:rPr>
        <w:t>указанных</w:t>
      </w:r>
      <w:proofErr w:type="gramEnd"/>
      <w:r w:rsidRPr="006968B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proofErr w:type="gramStart"/>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68B2">
        <w:rPr>
          <w:rFonts w:ascii="PT Astra Serif" w:hAnsi="PT Astra Serif"/>
        </w:rPr>
        <w:t xml:space="preserve"> </w:t>
      </w:r>
      <w:proofErr w:type="gramStart"/>
      <w:r w:rsidRPr="006968B2">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proofErr w:type="gramStart"/>
      <w:r w:rsidRPr="006968B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68B2">
        <w:rPr>
          <w:rFonts w:ascii="PT Astra Serif" w:hAnsi="PT Astra Serif"/>
        </w:rPr>
        <w:t xml:space="preserve"> </w:t>
      </w:r>
      <w:proofErr w:type="gramStart"/>
      <w:r w:rsidRPr="006968B2">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6968B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B25AF">
        <w:rPr>
          <w:rFonts w:ascii="PT Astra Serif" w:hAnsi="PT Astra Serif"/>
        </w:rPr>
        <w:t>25</w:t>
      </w:r>
      <w:r w:rsidR="001A3C2D" w:rsidRPr="001A3C2D">
        <w:rPr>
          <w:rFonts w:ascii="PT Astra Serif" w:hAnsi="PT Astra Serif"/>
        </w:rPr>
        <w:t xml:space="preserve">» </w:t>
      </w:r>
      <w:r w:rsidR="001B25AF">
        <w:rPr>
          <w:rFonts w:ascii="PT Astra Serif" w:hAnsi="PT Astra Serif"/>
        </w:rPr>
        <w:t>май</w:t>
      </w:r>
      <w:r w:rsidR="001A3C2D" w:rsidRPr="001A3C2D">
        <w:rPr>
          <w:rFonts w:ascii="PT Astra Serif" w:hAnsi="PT Astra Serif"/>
        </w:rPr>
        <w:t xml:space="preserve">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lastRenderedPageBreak/>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w:t>
      </w:r>
      <w:r w:rsidR="001B25AF">
        <w:rPr>
          <w:rFonts w:ascii="PT Astra Serif" w:hAnsi="PT Astra Serif"/>
        </w:rPr>
        <w:t>26</w:t>
      </w:r>
      <w:r w:rsidRPr="006968B2">
        <w:rPr>
          <w:rFonts w:ascii="PT Astra Serif" w:hAnsi="PT Astra Serif"/>
        </w:rPr>
        <w:t>»</w:t>
      </w:r>
      <w:r w:rsidR="001B25AF">
        <w:rPr>
          <w:rFonts w:ascii="PT Astra Serif" w:hAnsi="PT Astra Serif"/>
        </w:rPr>
        <w:t xml:space="preserve"> </w:t>
      </w:r>
      <w:r w:rsidR="001B25AF">
        <w:rPr>
          <w:rFonts w:ascii="PT Astra Serif" w:hAnsi="PT Astra Serif"/>
        </w:rPr>
        <w:t>май</w:t>
      </w:r>
      <w:r w:rsidR="001B25AF" w:rsidRPr="001A3C2D">
        <w:rPr>
          <w:rFonts w:ascii="PT Astra Serif" w:hAnsi="PT Astra Serif"/>
        </w:rPr>
        <w:t xml:space="preserve">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w:t>
      </w:r>
      <w:r w:rsidR="001B25AF">
        <w:rPr>
          <w:rFonts w:ascii="PT Astra Serif" w:hAnsi="PT Astra Serif"/>
        </w:rPr>
        <w:t>27</w:t>
      </w:r>
      <w:bookmarkStart w:id="0" w:name="_GoBack"/>
      <w:bookmarkEnd w:id="0"/>
      <w:r w:rsidR="00343D9A" w:rsidRPr="006968B2">
        <w:rPr>
          <w:rFonts w:ascii="PT Astra Serif" w:hAnsi="PT Astra Serif"/>
        </w:rPr>
        <w:t>»</w:t>
      </w:r>
      <w:r w:rsidR="001B25AF">
        <w:rPr>
          <w:rFonts w:ascii="PT Astra Serif" w:hAnsi="PT Astra Serif"/>
        </w:rPr>
        <w:t xml:space="preserve"> </w:t>
      </w:r>
      <w:r w:rsidR="001B25AF">
        <w:rPr>
          <w:rFonts w:ascii="PT Astra Serif" w:hAnsi="PT Astra Serif"/>
        </w:rPr>
        <w:t>май</w:t>
      </w:r>
      <w:r w:rsidR="001B25AF" w:rsidRPr="001A3C2D">
        <w:rPr>
          <w:rFonts w:ascii="PT Astra Serif" w:hAnsi="PT Astra Serif"/>
        </w:rPr>
        <w:t xml:space="preserve">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w:t>
      </w:r>
      <w:proofErr w:type="gramStart"/>
      <w:r w:rsidR="007A4FCE" w:rsidRPr="007A4FCE">
        <w:rPr>
          <w:rFonts w:ascii="PT Astra Serif" w:hAnsi="PT Astra Serif"/>
        </w:rPr>
        <w:t>дств в к</w:t>
      </w:r>
      <w:proofErr w:type="gramEnd"/>
      <w:r w:rsidR="007A4FCE" w:rsidRPr="007A4FCE">
        <w:rPr>
          <w:rFonts w:ascii="PT Astra Serif" w:hAnsi="PT Astra Serif"/>
        </w:rPr>
        <w:t>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F41068" w:rsidRPr="00F41068">
        <w:rPr>
          <w:rFonts w:ascii="PT Astra Serif" w:hAnsi="PT Astra Serif"/>
          <w:color w:val="000099"/>
        </w:rPr>
        <w:t>1 949 (одна тысяча девятьсот сорок девять) рублей 96 копеек</w:t>
      </w:r>
      <w:r w:rsidRPr="006968B2">
        <w:rPr>
          <w:rFonts w:ascii="PT Astra Serif" w:hAnsi="PT Astra Serif"/>
          <w:color w:val="000099"/>
        </w:rPr>
        <w:t xml:space="preserve">.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A4FCE">
        <w:rPr>
          <w:rFonts w:ascii="PT Astra Serif" w:hAnsi="PT Astra Serif"/>
        </w:rPr>
        <w:t>с даты окончания</w:t>
      </w:r>
      <w:proofErr w:type="gramEnd"/>
      <w:r w:rsidRPr="007A4FCE">
        <w:rPr>
          <w:rFonts w:ascii="PT Astra Serif" w:hAnsi="PT Astra Serif"/>
        </w:rPr>
        <w:t xml:space="preserve">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Платёжные реквизиты для перечисления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 xml:space="preserve">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Югорска, </w:t>
      </w:r>
      <w:proofErr w:type="gramStart"/>
      <w:r w:rsidRPr="00BF547B">
        <w:rPr>
          <w:rFonts w:ascii="PT Astra Serif" w:hAnsi="PT Astra Serif"/>
        </w:rPr>
        <w:t>л</w:t>
      </w:r>
      <w:proofErr w:type="gramEnd"/>
      <w:r w:rsidRPr="00BF547B">
        <w:rPr>
          <w:rFonts w:ascii="PT Astra Serif" w:hAnsi="PT Astra Serif"/>
        </w:rPr>
        <w:t xml:space="preserve">/с 05873030170), ИНН 8622002368, КПП 862201001, Банк: РКЦ Ханты-Мансийск, </w:t>
      </w:r>
      <w:proofErr w:type="spellStart"/>
      <w:r w:rsidRPr="00BF547B">
        <w:rPr>
          <w:rFonts w:ascii="PT Astra Serif" w:hAnsi="PT Astra Serif"/>
        </w:rPr>
        <w:t>г</w:t>
      </w:r>
      <w:proofErr w:type="gramStart"/>
      <w:r w:rsidRPr="00BF547B">
        <w:rPr>
          <w:rFonts w:ascii="PT Astra Serif" w:hAnsi="PT Astra Serif"/>
        </w:rPr>
        <w:t>.Х</w:t>
      </w:r>
      <w:proofErr w:type="gramEnd"/>
      <w:r w:rsidRPr="00BF547B">
        <w:rPr>
          <w:rFonts w:ascii="PT Astra Serif" w:hAnsi="PT Astra Serif"/>
        </w:rPr>
        <w:t>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lastRenderedPageBreak/>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25359">
        <w:rPr>
          <w:rFonts w:ascii="PT Astra Serif" w:hAnsi="PT Astra Serif"/>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lastRenderedPageBreak/>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BF547B">
      <w:pPr>
        <w:widowControl w:val="0"/>
        <w:tabs>
          <w:tab w:val="left" w:pos="709"/>
        </w:tabs>
        <w:jc w:val="both"/>
        <w:rPr>
          <w:rFonts w:ascii="PT Astra Serif" w:hAnsi="PT Astra Serif"/>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города Югорска, </w:t>
      </w:r>
      <w:proofErr w:type="gramStart"/>
      <w:r w:rsidR="00BF547B" w:rsidRPr="00BF547B">
        <w:rPr>
          <w:rFonts w:ascii="PT Astra Serif" w:hAnsi="PT Astra Serif"/>
          <w:color w:val="00000A"/>
          <w:sz w:val="22"/>
          <w:szCs w:val="22"/>
          <w:lang w:eastAsia="ru-RU"/>
        </w:rPr>
        <w:t>л</w:t>
      </w:r>
      <w:proofErr w:type="gramEnd"/>
      <w:r w:rsidR="00BF547B" w:rsidRPr="00BF547B">
        <w:rPr>
          <w:rFonts w:ascii="PT Astra Serif" w:hAnsi="PT Astra Serif"/>
          <w:color w:val="00000A"/>
          <w:sz w:val="22"/>
          <w:szCs w:val="22"/>
          <w:lang w:eastAsia="ru-RU"/>
        </w:rPr>
        <w:t xml:space="preserve">/с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w:t>
      </w:r>
      <w:proofErr w:type="gramStart"/>
      <w:r w:rsidR="00BF547B" w:rsidRPr="00BF547B">
        <w:rPr>
          <w:rFonts w:ascii="PT Astra Serif" w:hAnsi="PT Astra Serif"/>
          <w:color w:val="00000A"/>
          <w:sz w:val="22"/>
          <w:szCs w:val="22"/>
          <w:lang w:eastAsia="ru-RU"/>
        </w:rPr>
        <w:t>.Х</w:t>
      </w:r>
      <w:proofErr w:type="gramEnd"/>
      <w:r w:rsidR="00BF547B" w:rsidRPr="00BF547B">
        <w:rPr>
          <w:rFonts w:ascii="PT Astra Serif" w:hAnsi="PT Astra Serif"/>
          <w:color w:val="00000A"/>
          <w:sz w:val="22"/>
          <w:szCs w:val="22"/>
          <w:lang w:eastAsia="ru-RU"/>
        </w:rPr>
        <w:t>анты-Мансийск</w:t>
      </w:r>
      <w:proofErr w:type="spellEnd"/>
      <w:r w:rsidR="00BF547B" w:rsidRPr="00BF547B">
        <w:rPr>
          <w:rFonts w:ascii="PT Astra Serif" w:hAnsi="PT Astra Serif"/>
          <w:color w:val="00000A"/>
          <w:sz w:val="22"/>
          <w:szCs w:val="22"/>
          <w:lang w:eastAsia="ru-RU"/>
        </w:rPr>
        <w:t>,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F41068" w:rsidRPr="00F41068">
        <w:rPr>
          <w:rFonts w:ascii="PT Astra Serif" w:hAnsi="PT Astra Serif"/>
          <w:color w:val="000099"/>
        </w:rPr>
        <w:t>и монтаж кондиционера</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25359">
        <w:rPr>
          <w:rFonts w:ascii="PT Astra Serif" w:hAnsi="PT Astra Serif"/>
        </w:rPr>
        <w:t>дств сч</w:t>
      </w:r>
      <w:proofErr w:type="gramEnd"/>
      <w:r w:rsidRPr="00C25359">
        <w:rPr>
          <w:rFonts w:ascii="PT Astra Serif" w:hAnsi="PT Astra Serif"/>
        </w:rPr>
        <w:t>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25359">
        <w:rPr>
          <w:rFonts w:ascii="PT Astra Serif" w:hAnsi="PT Astra Serif"/>
        </w:rPr>
        <w:t>,</w:t>
      </w:r>
      <w:proofErr w:type="gramEnd"/>
      <w:r w:rsidRPr="00C25359">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w:t>
      </w:r>
      <w:proofErr w:type="gramStart"/>
      <w:r w:rsidRPr="006968B2">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roofErr w:type="gramEnd"/>
    </w:p>
    <w:p w:rsidR="00651F3C" w:rsidRPr="009D14E8" w:rsidRDefault="00651F3C" w:rsidP="00651F3C">
      <w:pPr>
        <w:autoSpaceDE w:val="0"/>
        <w:ind w:firstLine="709"/>
        <w:jc w:val="both"/>
        <w:rPr>
          <w:rFonts w:ascii="PT Astra Serif" w:hAnsi="PT Astra Serif"/>
        </w:rPr>
      </w:pPr>
      <w:r w:rsidRPr="009D14E8">
        <w:rPr>
          <w:rFonts w:ascii="PT Astra Serif" w:hAnsi="PT Astra Serif"/>
          <w:bCs/>
          <w:kern w:val="1"/>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837C33">
        <w:rPr>
          <w:rFonts w:ascii="PT Astra Serif" w:hAnsi="PT Astra Serif"/>
          <w:bCs/>
          <w:kern w:val="1"/>
        </w:rPr>
        <w:t>» (действует до 01.07.2020):</w:t>
      </w:r>
      <w:r w:rsidRPr="009D14E8">
        <w:rPr>
          <w:rFonts w:ascii="PT Astra Serif" w:hAnsi="PT Astra Serif"/>
          <w:bCs/>
          <w:kern w:val="1"/>
        </w:rPr>
        <w:t xml:space="preserve"> </w:t>
      </w:r>
      <w:r w:rsidRPr="009D14E8">
        <w:rPr>
          <w:rFonts w:ascii="PT Astra Serif" w:hAnsi="PT Astra Serif"/>
          <w:bCs/>
          <w:kern w:val="1"/>
          <w:u w:val="single"/>
        </w:rPr>
        <w:t xml:space="preserve">  не установлено</w:t>
      </w:r>
      <w:r w:rsidRPr="009D14E8">
        <w:rPr>
          <w:rFonts w:ascii="PT Astra Serif" w:hAnsi="PT Astra Serif"/>
          <w:bCs/>
          <w:kern w:val="1"/>
        </w:rPr>
        <w:t>;</w:t>
      </w:r>
    </w:p>
    <w:p w:rsidR="00651F3C" w:rsidRPr="00CC4AFE" w:rsidRDefault="00651F3C" w:rsidP="00651F3C">
      <w:pPr>
        <w:autoSpaceDE w:val="0"/>
        <w:ind w:firstLine="709"/>
        <w:jc w:val="both"/>
        <w:rPr>
          <w:rFonts w:ascii="PT Astra Serif" w:hAnsi="PT Astra Serif"/>
          <w:b/>
          <w:color w:val="000099"/>
        </w:rPr>
      </w:pPr>
      <w:r w:rsidRPr="009D14E8">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D14E8">
        <w:rPr>
          <w:rFonts w:ascii="PT Astra Serif" w:hAnsi="PT Astra Serif"/>
          <w:bCs/>
          <w:kern w:val="1"/>
        </w:rPr>
        <w:t xml:space="preserve"> </w:t>
      </w:r>
      <w:r w:rsidRPr="00651F3C">
        <w:rPr>
          <w:rFonts w:ascii="PT Astra Serif" w:hAnsi="PT Astra Serif"/>
          <w:bCs/>
          <w:kern w:val="1"/>
          <w:u w:val="single"/>
        </w:rPr>
        <w:t xml:space="preserve"> не установлено;</w:t>
      </w:r>
    </w:p>
    <w:p w:rsidR="00651F3C" w:rsidRPr="00E51E8C" w:rsidRDefault="00651F3C" w:rsidP="00651F3C">
      <w:pPr>
        <w:autoSpaceDE w:val="0"/>
        <w:ind w:firstLine="567"/>
        <w:jc w:val="both"/>
        <w:rPr>
          <w:rFonts w:ascii="PT Astra Serif" w:hAnsi="PT Astra Serif"/>
        </w:rPr>
      </w:pPr>
      <w:r w:rsidRPr="00E51E8C">
        <w:rPr>
          <w:rFonts w:ascii="PT Astra Serif" w:hAnsi="PT Astra Serif"/>
        </w:rPr>
        <w:t xml:space="preserve">3)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651F3C" w:rsidRPr="00E51E8C" w:rsidRDefault="00651F3C" w:rsidP="00651F3C">
      <w:pPr>
        <w:autoSpaceDE w:val="0"/>
        <w:ind w:firstLine="567"/>
        <w:jc w:val="both"/>
        <w:rPr>
          <w:rFonts w:ascii="PT Astra Serif" w:hAnsi="PT Astra Serif"/>
        </w:rPr>
      </w:pPr>
      <w:r w:rsidRPr="00E51E8C">
        <w:rPr>
          <w:rFonts w:ascii="PT Astra Serif" w:hAnsi="PT Astra Serif"/>
        </w:rPr>
        <w:t xml:space="preserve">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651F3C" w:rsidRPr="00E51E8C" w:rsidRDefault="00651F3C" w:rsidP="00651F3C">
      <w:pPr>
        <w:autoSpaceDE w:val="0"/>
        <w:ind w:firstLine="567"/>
        <w:jc w:val="both"/>
        <w:rPr>
          <w:rFonts w:ascii="PT Astra Serif" w:hAnsi="PT Astra Serif"/>
        </w:rPr>
      </w:pPr>
      <w:r w:rsidRPr="00E51E8C">
        <w:rPr>
          <w:rFonts w:ascii="PT Astra Serif" w:hAnsi="PT Astra Serif"/>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w:t>
      </w:r>
      <w:r w:rsidRPr="00E51E8C">
        <w:rPr>
          <w:rFonts w:ascii="PT Astra Serif" w:hAnsi="PT Astra Serif"/>
        </w:rPr>
        <w:lastRenderedPageBreak/>
        <w:t xml:space="preserve">государств, для целей осуществления закупок для обеспечения государственных и муниципальных нужд»:  </w:t>
      </w:r>
      <w:r w:rsidRPr="00E51E8C">
        <w:rPr>
          <w:rFonts w:ascii="PT Astra Serif" w:hAnsi="PT Astra Serif"/>
          <w:u w:val="single"/>
        </w:rPr>
        <w:t>не установлено</w:t>
      </w:r>
      <w:r w:rsidRPr="00E51E8C">
        <w:rPr>
          <w:rFonts w:ascii="PT Astra Serif" w:hAnsi="PT Astra Serif"/>
        </w:rPr>
        <w:t>;</w:t>
      </w:r>
    </w:p>
    <w:p w:rsidR="00651F3C" w:rsidRDefault="00651F3C" w:rsidP="00651F3C">
      <w:pPr>
        <w:autoSpaceDE w:val="0"/>
        <w:ind w:firstLine="567"/>
        <w:jc w:val="both"/>
        <w:rPr>
          <w:rFonts w:ascii="PT Astra Serif" w:hAnsi="PT Astra Serif"/>
          <w:u w:val="single"/>
        </w:rPr>
      </w:pPr>
      <w:proofErr w:type="gramStart"/>
      <w:r w:rsidRPr="00837C33">
        <w:rPr>
          <w:rFonts w:ascii="PT Astra Serif" w:hAnsi="PT Astra Serif"/>
        </w:rPr>
        <w:t>6</w:t>
      </w:r>
      <w:r w:rsidRPr="00E51E8C">
        <w:rPr>
          <w:rFonts w:ascii="PT Astra Serif" w:hAnsi="PT Astra Serif"/>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E51E8C">
        <w:rPr>
          <w:rFonts w:ascii="PT Astra Serif" w:hAnsi="PT Astra Serif"/>
          <w:u w:val="single"/>
        </w:rPr>
        <w:t>не установлено;</w:t>
      </w:r>
      <w:proofErr w:type="gramEnd"/>
    </w:p>
    <w:p w:rsidR="00651F3C" w:rsidRPr="00E51E8C" w:rsidRDefault="00651F3C" w:rsidP="00651F3C">
      <w:pPr>
        <w:autoSpaceDE w:val="0"/>
        <w:ind w:firstLine="567"/>
        <w:jc w:val="both"/>
        <w:rPr>
          <w:rFonts w:ascii="PT Astra Serif" w:hAnsi="PT Astra Serif"/>
        </w:rPr>
      </w:pPr>
      <w:r w:rsidRPr="00837C33">
        <w:rPr>
          <w:rFonts w:ascii="PT Astra Serif" w:hAnsi="PT Astra Serif"/>
        </w:rPr>
        <w:t xml:space="preserve">7)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2198D">
        <w:rPr>
          <w:rFonts w:ascii="PT Astra Serif" w:hAnsi="PT Astra Serif"/>
          <w:b/>
          <w:bCs/>
          <w:color w:val="000099"/>
          <w:kern w:val="1"/>
          <w:u w:val="single"/>
        </w:rPr>
        <w:t>установлено</w:t>
      </w:r>
      <w:r w:rsidRPr="00837C33">
        <w:rPr>
          <w:rFonts w:ascii="PT Astra Serif" w:hAnsi="PT Astra Serif"/>
        </w:rPr>
        <w:t>;</w:t>
      </w:r>
    </w:p>
    <w:p w:rsidR="00651F3C" w:rsidRDefault="00651F3C" w:rsidP="00651F3C">
      <w:pPr>
        <w:autoSpaceDE w:val="0"/>
        <w:ind w:firstLine="567"/>
        <w:jc w:val="both"/>
        <w:rPr>
          <w:rFonts w:ascii="PT Astra Serif" w:hAnsi="PT Astra Serif"/>
          <w:bCs/>
          <w:kern w:val="1"/>
        </w:rPr>
      </w:pPr>
      <w:r w:rsidRPr="00837C33">
        <w:rPr>
          <w:rFonts w:ascii="PT Astra Serif" w:hAnsi="PT Astra Serif"/>
          <w:bCs/>
          <w:kern w:val="1"/>
        </w:rPr>
        <w:t>8)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w:t>
      </w:r>
      <w:r>
        <w:rPr>
          <w:rFonts w:ascii="PT Astra Serif" w:hAnsi="PT Astra Serif"/>
          <w:bCs/>
          <w:kern w:val="1"/>
        </w:rPr>
        <w:t xml:space="preserve">т с 26.12.2019): </w:t>
      </w:r>
      <w:r w:rsidRPr="00837C33">
        <w:rPr>
          <w:rFonts w:ascii="PT Astra Serif" w:hAnsi="PT Astra Serif"/>
          <w:bCs/>
          <w:kern w:val="1"/>
          <w:u w:val="single"/>
        </w:rPr>
        <w:t>не установлено</w:t>
      </w:r>
      <w:r>
        <w:rPr>
          <w:rFonts w:ascii="PT Astra Serif" w:hAnsi="PT Astra Serif"/>
          <w:bCs/>
          <w:kern w:val="1"/>
        </w:rPr>
        <w:t>;</w:t>
      </w:r>
    </w:p>
    <w:p w:rsidR="00651F3C" w:rsidRDefault="00651F3C" w:rsidP="00651F3C">
      <w:pPr>
        <w:autoSpaceDE w:val="0"/>
        <w:ind w:firstLine="567"/>
        <w:jc w:val="both"/>
        <w:rPr>
          <w:rFonts w:ascii="PT Astra Serif" w:hAnsi="PT Astra Serif"/>
          <w:bCs/>
          <w:kern w:val="1"/>
        </w:rPr>
      </w:pPr>
      <w:proofErr w:type="gramStart"/>
      <w:r>
        <w:rPr>
          <w:rFonts w:ascii="PT Astra Serif" w:hAnsi="PT Astra Serif"/>
          <w:bCs/>
          <w:kern w:val="1"/>
        </w:rPr>
        <w:t xml:space="preserve">9) в </w:t>
      </w:r>
      <w:r w:rsidRPr="00837C33">
        <w:rPr>
          <w:rFonts w:ascii="PT Astra Serif" w:hAnsi="PT Astra Serif"/>
          <w:bCs/>
          <w:kern w:val="1"/>
        </w:rPr>
        <w:t xml:space="preserve">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837C33">
        <w:rPr>
          <w:rFonts w:ascii="PT Astra Serif" w:hAnsi="PT Astra Serif"/>
          <w:bCs/>
          <w:kern w:val="1"/>
          <w:u w:val="single"/>
        </w:rPr>
        <w:t>не установлено</w:t>
      </w:r>
      <w:r w:rsidRPr="00837C33">
        <w:rPr>
          <w:rFonts w:ascii="PT Astra Serif" w:hAnsi="PT Astra Serif"/>
          <w:bCs/>
          <w:kern w:val="1"/>
        </w:rPr>
        <w:t>;</w:t>
      </w:r>
      <w:proofErr w:type="gramEnd"/>
    </w:p>
    <w:p w:rsidR="00651F3C" w:rsidRPr="00E51E8C" w:rsidRDefault="00651F3C" w:rsidP="00651F3C">
      <w:pPr>
        <w:autoSpaceDE w:val="0"/>
        <w:ind w:firstLine="567"/>
        <w:jc w:val="both"/>
        <w:rPr>
          <w:rFonts w:ascii="PT Astra Serif" w:hAnsi="PT Astra Serif"/>
          <w:bCs/>
          <w:kern w:val="1"/>
          <w:u w:val="single"/>
        </w:rPr>
      </w:pPr>
      <w:r>
        <w:rPr>
          <w:rFonts w:ascii="PT Astra Serif" w:hAnsi="PT Astra Serif"/>
          <w:bCs/>
          <w:kern w:val="1"/>
        </w:rPr>
        <w:t>10</w:t>
      </w:r>
      <w:r w:rsidRPr="00E51E8C">
        <w:rPr>
          <w:rFonts w:ascii="PT Astra Serif" w:hAnsi="PT Astra Serif"/>
          <w:bCs/>
          <w:kern w:val="1"/>
        </w:rPr>
        <w:t xml:space="preserve">) в </w:t>
      </w:r>
      <w:r w:rsidRPr="00837C33">
        <w:rPr>
          <w:rFonts w:ascii="PT Astra Serif" w:hAnsi="PT Astra Serif"/>
          <w:bCs/>
          <w:kern w:val="1"/>
        </w:rPr>
        <w:t>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E51E8C">
        <w:rPr>
          <w:rFonts w:ascii="PT Astra Serif" w:hAnsi="PT Astra Serif"/>
          <w:bCs/>
          <w:kern w:val="1"/>
        </w:rPr>
        <w:t>:</w:t>
      </w:r>
      <w:r>
        <w:rPr>
          <w:rFonts w:ascii="PT Astra Serif" w:hAnsi="PT Astra Serif"/>
          <w:bCs/>
          <w:kern w:val="1"/>
          <w:u w:val="single"/>
        </w:rPr>
        <w:t xml:space="preserve"> не установлено.</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Глава города Югорска</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w:t>
      </w:r>
      <w:proofErr w:type="gramStart"/>
      <w:r w:rsidR="00924908" w:rsidRPr="00924908">
        <w:rPr>
          <w:rFonts w:ascii="PT Astra Serif" w:hAnsi="PT Astra Serif"/>
        </w:rPr>
        <w:t>муниципальных</w:t>
      </w:r>
      <w:proofErr w:type="gramEnd"/>
      <w:r w:rsidR="00924908" w:rsidRPr="00924908">
        <w:rPr>
          <w:rFonts w:ascii="PT Astra Serif" w:hAnsi="PT Astra Serif"/>
        </w:rPr>
        <w:t xml:space="preserve">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8D" w:rsidRDefault="00733C8D">
      <w:r>
        <w:separator/>
      </w:r>
    </w:p>
  </w:endnote>
  <w:endnote w:type="continuationSeparator" w:id="0">
    <w:p w:rsidR="00733C8D" w:rsidRDefault="0073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1B25AF">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8D" w:rsidRDefault="00733C8D">
      <w:r>
        <w:separator/>
      </w:r>
    </w:p>
  </w:footnote>
  <w:footnote w:type="continuationSeparator" w:id="0">
    <w:p w:rsidR="00733C8D" w:rsidRDefault="00733C8D">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60F3A"/>
    <w:rsid w:val="00091166"/>
    <w:rsid w:val="000D2292"/>
    <w:rsid w:val="00143D6A"/>
    <w:rsid w:val="00167498"/>
    <w:rsid w:val="0019610F"/>
    <w:rsid w:val="001A3C2D"/>
    <w:rsid w:val="001B194F"/>
    <w:rsid w:val="001B25AF"/>
    <w:rsid w:val="001D5070"/>
    <w:rsid w:val="001E15FE"/>
    <w:rsid w:val="001E5612"/>
    <w:rsid w:val="001E60EC"/>
    <w:rsid w:val="001F6C8B"/>
    <w:rsid w:val="00201720"/>
    <w:rsid w:val="00207DDB"/>
    <w:rsid w:val="0022525E"/>
    <w:rsid w:val="00242D23"/>
    <w:rsid w:val="0025724A"/>
    <w:rsid w:val="002A3AAA"/>
    <w:rsid w:val="002A52AC"/>
    <w:rsid w:val="002C04F6"/>
    <w:rsid w:val="003041AC"/>
    <w:rsid w:val="003264AA"/>
    <w:rsid w:val="00343D9A"/>
    <w:rsid w:val="0034525B"/>
    <w:rsid w:val="0035015A"/>
    <w:rsid w:val="00355A46"/>
    <w:rsid w:val="00362145"/>
    <w:rsid w:val="003774CD"/>
    <w:rsid w:val="003774F3"/>
    <w:rsid w:val="003B18A9"/>
    <w:rsid w:val="004313FE"/>
    <w:rsid w:val="0046738D"/>
    <w:rsid w:val="00493A26"/>
    <w:rsid w:val="004B56CB"/>
    <w:rsid w:val="004C214B"/>
    <w:rsid w:val="004C38B6"/>
    <w:rsid w:val="004E0B89"/>
    <w:rsid w:val="00507EFC"/>
    <w:rsid w:val="00546104"/>
    <w:rsid w:val="005537A2"/>
    <w:rsid w:val="005927CB"/>
    <w:rsid w:val="0059551E"/>
    <w:rsid w:val="00596607"/>
    <w:rsid w:val="005A16FB"/>
    <w:rsid w:val="005A61D6"/>
    <w:rsid w:val="005B0217"/>
    <w:rsid w:val="005B2FA1"/>
    <w:rsid w:val="005B59BD"/>
    <w:rsid w:val="005C1A0C"/>
    <w:rsid w:val="005F6935"/>
    <w:rsid w:val="00610DA7"/>
    <w:rsid w:val="00616F6E"/>
    <w:rsid w:val="00623A9C"/>
    <w:rsid w:val="00651F3C"/>
    <w:rsid w:val="00652D93"/>
    <w:rsid w:val="00674DDF"/>
    <w:rsid w:val="00690E1D"/>
    <w:rsid w:val="006928E9"/>
    <w:rsid w:val="006968B2"/>
    <w:rsid w:val="006A12DA"/>
    <w:rsid w:val="006B3CD7"/>
    <w:rsid w:val="006C4869"/>
    <w:rsid w:val="006F7DD1"/>
    <w:rsid w:val="00711F1C"/>
    <w:rsid w:val="00726C63"/>
    <w:rsid w:val="00733C8D"/>
    <w:rsid w:val="00740458"/>
    <w:rsid w:val="0074047B"/>
    <w:rsid w:val="00761EBF"/>
    <w:rsid w:val="00764EB7"/>
    <w:rsid w:val="007720CA"/>
    <w:rsid w:val="0077394B"/>
    <w:rsid w:val="00783241"/>
    <w:rsid w:val="007A4FCE"/>
    <w:rsid w:val="007C220B"/>
    <w:rsid w:val="007D6DCB"/>
    <w:rsid w:val="007E1B43"/>
    <w:rsid w:val="007F5800"/>
    <w:rsid w:val="008238A9"/>
    <w:rsid w:val="00830034"/>
    <w:rsid w:val="00836486"/>
    <w:rsid w:val="00883F9D"/>
    <w:rsid w:val="008A6B7A"/>
    <w:rsid w:val="008C0659"/>
    <w:rsid w:val="008C1BF5"/>
    <w:rsid w:val="008D3518"/>
    <w:rsid w:val="009156B5"/>
    <w:rsid w:val="00924908"/>
    <w:rsid w:val="00927937"/>
    <w:rsid w:val="00931698"/>
    <w:rsid w:val="009444CE"/>
    <w:rsid w:val="00963B89"/>
    <w:rsid w:val="00983CB9"/>
    <w:rsid w:val="009900FD"/>
    <w:rsid w:val="0099388A"/>
    <w:rsid w:val="009A61E6"/>
    <w:rsid w:val="009C6C24"/>
    <w:rsid w:val="009F2E31"/>
    <w:rsid w:val="00A16AFE"/>
    <w:rsid w:val="00A27401"/>
    <w:rsid w:val="00A346BC"/>
    <w:rsid w:val="00A518EF"/>
    <w:rsid w:val="00A60BC2"/>
    <w:rsid w:val="00A61206"/>
    <w:rsid w:val="00A64EC3"/>
    <w:rsid w:val="00A7590B"/>
    <w:rsid w:val="00AA47AF"/>
    <w:rsid w:val="00AA7ED0"/>
    <w:rsid w:val="00AC1362"/>
    <w:rsid w:val="00AC5032"/>
    <w:rsid w:val="00AC5F0D"/>
    <w:rsid w:val="00AF2976"/>
    <w:rsid w:val="00B02FA9"/>
    <w:rsid w:val="00B45924"/>
    <w:rsid w:val="00B56AF9"/>
    <w:rsid w:val="00B6347E"/>
    <w:rsid w:val="00B84100"/>
    <w:rsid w:val="00BB07B0"/>
    <w:rsid w:val="00BC0309"/>
    <w:rsid w:val="00BC3267"/>
    <w:rsid w:val="00BD72A8"/>
    <w:rsid w:val="00BF547B"/>
    <w:rsid w:val="00C0697C"/>
    <w:rsid w:val="00C1393B"/>
    <w:rsid w:val="00C41E03"/>
    <w:rsid w:val="00C63DDF"/>
    <w:rsid w:val="00C94427"/>
    <w:rsid w:val="00CA419F"/>
    <w:rsid w:val="00CD1D00"/>
    <w:rsid w:val="00CD4823"/>
    <w:rsid w:val="00CD62C3"/>
    <w:rsid w:val="00CD7F7B"/>
    <w:rsid w:val="00CE0906"/>
    <w:rsid w:val="00D3061D"/>
    <w:rsid w:val="00D60EE4"/>
    <w:rsid w:val="00D80948"/>
    <w:rsid w:val="00D92538"/>
    <w:rsid w:val="00DA7FF2"/>
    <w:rsid w:val="00DC7294"/>
    <w:rsid w:val="00E3147C"/>
    <w:rsid w:val="00E753E0"/>
    <w:rsid w:val="00EA3B70"/>
    <w:rsid w:val="00EC2335"/>
    <w:rsid w:val="00EE32CB"/>
    <w:rsid w:val="00EE65D1"/>
    <w:rsid w:val="00F04AEE"/>
    <w:rsid w:val="00F13D95"/>
    <w:rsid w:val="00F1501C"/>
    <w:rsid w:val="00F175C4"/>
    <w:rsid w:val="00F218D4"/>
    <w:rsid w:val="00F26A34"/>
    <w:rsid w:val="00F41068"/>
    <w:rsid w:val="00F87249"/>
    <w:rsid w:val="00F936D6"/>
    <w:rsid w:val="00FA13EA"/>
    <w:rsid w:val="00FA6D22"/>
    <w:rsid w:val="00FB7267"/>
    <w:rsid w:val="00FC0CE1"/>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7</Pages>
  <Words>3560</Words>
  <Characters>20297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92</cp:revision>
  <cp:lastPrinted>2020-03-03T11:55:00Z</cp:lastPrinted>
  <dcterms:created xsi:type="dcterms:W3CDTF">2017-10-05T06:08:00Z</dcterms:created>
  <dcterms:modified xsi:type="dcterms:W3CDTF">2020-05-13T09:59:00Z</dcterms:modified>
</cp:coreProperties>
</file>