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C1" w:rsidRPr="00EB50C1" w:rsidRDefault="00EB50C1" w:rsidP="00EB50C1">
      <w:pPr>
        <w:autoSpaceDE w:val="0"/>
        <w:autoSpaceDN w:val="0"/>
        <w:adjustRightInd w:val="0"/>
        <w:spacing w:after="0" w:line="240" w:lineRule="auto"/>
        <w:ind w:left="284" w:hanging="284"/>
        <w:jc w:val="center"/>
        <w:outlineLvl w:val="0"/>
        <w:rPr>
          <w:rFonts w:ascii="Times New Roman" w:eastAsia="Times New Roman" w:hAnsi="Times New Roman" w:cs="Times New Roman"/>
          <w:b/>
          <w:sz w:val="24"/>
          <w:szCs w:val="24"/>
          <w:lang w:eastAsia="ru-RU"/>
        </w:rPr>
      </w:pPr>
      <w:r w:rsidRPr="00EB50C1">
        <w:rPr>
          <w:rFonts w:ascii="Times New Roman" w:eastAsia="Times New Roman" w:hAnsi="Times New Roman" w:cs="Times New Roman"/>
          <w:b/>
          <w:sz w:val="24"/>
          <w:szCs w:val="24"/>
          <w:lang w:eastAsia="ru-RU"/>
        </w:rPr>
        <w:t>ИЗВЕЩЕНИЕ О ПРОВЕДЕН</w:t>
      </w:r>
      <w:proofErr w:type="gramStart"/>
      <w:r w:rsidRPr="00EB50C1">
        <w:rPr>
          <w:rFonts w:ascii="Times New Roman" w:eastAsia="Times New Roman" w:hAnsi="Times New Roman" w:cs="Times New Roman"/>
          <w:b/>
          <w:sz w:val="24"/>
          <w:szCs w:val="24"/>
          <w:lang w:eastAsia="ru-RU"/>
        </w:rPr>
        <w:t>ИИ АУ</w:t>
      </w:r>
      <w:proofErr w:type="gramEnd"/>
      <w:r w:rsidRPr="00EB50C1">
        <w:rPr>
          <w:rFonts w:ascii="Times New Roman" w:eastAsia="Times New Roman" w:hAnsi="Times New Roman" w:cs="Times New Roman"/>
          <w:b/>
          <w:sz w:val="24"/>
          <w:szCs w:val="24"/>
          <w:lang w:eastAsia="ru-RU"/>
        </w:rPr>
        <w:t>КЦИОНА В ЭЛЕКТРОННОЙ ФОРМЕ</w:t>
      </w:r>
    </w:p>
    <w:p w:rsidR="00213AA3" w:rsidRDefault="00EB50C1" w:rsidP="00EB50C1">
      <w:pPr>
        <w:numPr>
          <w:ilvl w:val="1"/>
          <w:numId w:val="1"/>
        </w:numPr>
        <w:tabs>
          <w:tab w:val="num" w:pos="0"/>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213AA3">
        <w:rPr>
          <w:rFonts w:ascii="Times New Roman" w:eastAsia="Times New Roman" w:hAnsi="Times New Roman" w:cs="Arial"/>
          <w:lang w:eastAsia="ru-RU"/>
        </w:rPr>
        <w:t xml:space="preserve">Наименование аукциона в электронной форме: аукцион в электронной форме </w:t>
      </w:r>
      <w:r w:rsidRPr="00213AA3">
        <w:rPr>
          <w:rFonts w:ascii="Times New Roman" w:eastAsia="Times New Roman" w:hAnsi="Times New Roman" w:cs="Times New Roman"/>
          <w:bCs/>
          <w:lang w:eastAsia="ru-RU"/>
        </w:rPr>
        <w:t>для субъектов малого предпринимательства и социально ориентированных некоммерческих организаций</w:t>
      </w:r>
      <w:r w:rsidRPr="00213AA3">
        <w:rPr>
          <w:rFonts w:ascii="Times New Roman" w:eastAsia="Times New Roman" w:hAnsi="Times New Roman" w:cs="Arial"/>
          <w:lang w:eastAsia="ru-RU"/>
        </w:rPr>
        <w:t xml:space="preserve"> на право заключения гражданско-правового договора на поставку и монтаж уличного </w:t>
      </w:r>
      <w:r w:rsidR="00213AA3" w:rsidRPr="00213AA3">
        <w:rPr>
          <w:rFonts w:ascii="Times New Roman" w:eastAsia="Times New Roman" w:hAnsi="Times New Roman" w:cs="Arial"/>
          <w:lang w:eastAsia="ru-RU"/>
        </w:rPr>
        <w:t xml:space="preserve">игрового </w:t>
      </w:r>
      <w:r w:rsidRPr="00213AA3">
        <w:rPr>
          <w:rFonts w:ascii="Times New Roman" w:eastAsia="Times New Roman" w:hAnsi="Times New Roman" w:cs="Arial"/>
          <w:lang w:eastAsia="ru-RU"/>
        </w:rPr>
        <w:t>оборудования</w:t>
      </w:r>
      <w:r w:rsidR="00213AA3" w:rsidRPr="00213AA3">
        <w:rPr>
          <w:rFonts w:ascii="Times New Roman" w:eastAsia="Times New Roman" w:hAnsi="Times New Roman" w:cs="Arial"/>
          <w:lang w:eastAsia="ru-RU"/>
        </w:rPr>
        <w:t>.</w:t>
      </w:r>
    </w:p>
    <w:p w:rsidR="00EB50C1" w:rsidRPr="00213AA3" w:rsidRDefault="00EB50C1" w:rsidP="00EB50C1">
      <w:pPr>
        <w:numPr>
          <w:ilvl w:val="1"/>
          <w:numId w:val="1"/>
        </w:numPr>
        <w:tabs>
          <w:tab w:val="num" w:pos="0"/>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213AA3">
        <w:rPr>
          <w:rFonts w:ascii="Times New Roman" w:eastAsia="Times New Roman" w:hAnsi="Times New Roman" w:cs="Arial"/>
          <w:lang w:eastAsia="ru-RU"/>
        </w:rPr>
        <w:t>Аукцион в электронной форме проводит: Уполномоченный орган</w:t>
      </w:r>
    </w:p>
    <w:p w:rsidR="00EB50C1" w:rsidRPr="00EB50C1" w:rsidRDefault="00EB50C1" w:rsidP="00EB50C1">
      <w:pPr>
        <w:numPr>
          <w:ilvl w:val="1"/>
          <w:numId w:val="1"/>
        </w:numPr>
        <w:tabs>
          <w:tab w:val="num" w:pos="0"/>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Заказчик: Муниципальное бюджетное общеобразовательное учреждение «Средняя общеобразовательная школа № 2»</w:t>
      </w:r>
    </w:p>
    <w:p w:rsidR="00EB50C1" w:rsidRPr="00EB50C1" w:rsidRDefault="00EB50C1" w:rsidP="00EB50C1">
      <w:pPr>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 xml:space="preserve">Место нахождения: 628260, Ханты - Мансийский автономный округ - Югра, Тюменская обл.,  г. Югорск, ул. Мира, д. 85. </w:t>
      </w:r>
    </w:p>
    <w:p w:rsidR="00EB50C1" w:rsidRPr="00EB50C1" w:rsidRDefault="00EB50C1" w:rsidP="00EB50C1">
      <w:pPr>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Почтовый адрес: 628260, Ханты - Мансийский автономный округ - Югра, Тюменская обл.,  г. Югорск, ул. Мира, д. 85</w:t>
      </w:r>
    </w:p>
    <w:p w:rsidR="00EB50C1" w:rsidRPr="00EB50C1" w:rsidRDefault="00EB50C1" w:rsidP="00EB50C1">
      <w:pPr>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 xml:space="preserve">Адрес электронной почты: </w:t>
      </w:r>
      <w:proofErr w:type="spellStart"/>
      <w:r w:rsidRPr="00EB50C1">
        <w:rPr>
          <w:rFonts w:ascii="Times New Roman" w:eastAsia="Times New Roman" w:hAnsi="Times New Roman" w:cs="Arial"/>
          <w:lang w:eastAsia="ru-RU"/>
        </w:rPr>
        <w:t>E-mail</w:t>
      </w:r>
      <w:proofErr w:type="spellEnd"/>
      <w:r w:rsidRPr="00EB50C1">
        <w:rPr>
          <w:rFonts w:ascii="Times New Roman" w:eastAsia="Times New Roman" w:hAnsi="Times New Roman" w:cs="Arial"/>
          <w:lang w:eastAsia="ru-RU"/>
        </w:rPr>
        <w:t xml:space="preserve">: </w:t>
      </w:r>
      <w:proofErr w:type="spellStart"/>
      <w:r w:rsidRPr="00EB50C1">
        <w:rPr>
          <w:rFonts w:ascii="Times New Roman" w:eastAsia="Times New Roman" w:hAnsi="Times New Roman" w:cs="Arial"/>
          <w:lang w:eastAsia="ru-RU"/>
        </w:rPr>
        <w:t>buh</w:t>
      </w:r>
      <w:proofErr w:type="spellEnd"/>
      <w:r w:rsidRPr="00EB50C1">
        <w:rPr>
          <w:rFonts w:ascii="Times New Roman" w:eastAsia="Times New Roman" w:hAnsi="Times New Roman" w:cs="Arial"/>
          <w:lang w:val="en-US" w:eastAsia="ru-RU"/>
        </w:rPr>
        <w:t>school</w:t>
      </w:r>
      <w:r w:rsidRPr="00EB50C1">
        <w:rPr>
          <w:rFonts w:ascii="Times New Roman" w:eastAsia="Times New Roman" w:hAnsi="Times New Roman" w:cs="Arial"/>
          <w:lang w:eastAsia="ru-RU"/>
        </w:rPr>
        <w:t>2@mail.ru</w:t>
      </w:r>
    </w:p>
    <w:p w:rsidR="00EB50C1" w:rsidRPr="00EB50C1" w:rsidRDefault="00EB50C1" w:rsidP="00EB50C1">
      <w:pPr>
        <w:tabs>
          <w:tab w:val="num" w:pos="0"/>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Номер контактного телефона: 8 (34675) 7-09-61, 7-10-09</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 xml:space="preserve">Ответственное должностное лицо: </w:t>
      </w:r>
      <w:r>
        <w:rPr>
          <w:rFonts w:ascii="Times New Roman" w:eastAsia="Times New Roman" w:hAnsi="Times New Roman" w:cs="Arial"/>
          <w:lang w:eastAsia="ru-RU"/>
        </w:rPr>
        <w:t xml:space="preserve">Главный экономист </w:t>
      </w:r>
      <w:proofErr w:type="spellStart"/>
      <w:r>
        <w:rPr>
          <w:rFonts w:ascii="Times New Roman" w:eastAsia="Times New Roman" w:hAnsi="Times New Roman" w:cs="Arial"/>
          <w:lang w:eastAsia="ru-RU"/>
        </w:rPr>
        <w:t>Драгомарецкая</w:t>
      </w:r>
      <w:proofErr w:type="spellEnd"/>
      <w:r>
        <w:rPr>
          <w:rFonts w:ascii="Times New Roman" w:eastAsia="Times New Roman" w:hAnsi="Times New Roman" w:cs="Arial"/>
          <w:lang w:eastAsia="ru-RU"/>
        </w:rPr>
        <w:t xml:space="preserve"> Евгения Леонидовна</w:t>
      </w:r>
    </w:p>
    <w:p w:rsidR="00EB50C1" w:rsidRPr="00EB50C1" w:rsidRDefault="00EB50C1" w:rsidP="00EB50C1">
      <w:pPr>
        <w:numPr>
          <w:ilvl w:val="1"/>
          <w:numId w:val="1"/>
        </w:numPr>
        <w:tabs>
          <w:tab w:val="num" w:pos="0"/>
          <w:tab w:val="left" w:pos="567"/>
          <w:tab w:val="num" w:pos="1075"/>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Уполномоченный орган (учреждение): Администрация города Югорска</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Место нахождения: 628260, Ханты - Мансийский автономный округ - Югра, Тюменская обл.,  г. Югорск, ул. 40 лет Победы, 11, каб. 310.</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 xml:space="preserve">Почтовый адрес: 628260, Ханты - Мансийский автономный округ - Югра, Тюменская обл.,  г. Югорск, ул. 40 лет Победы, 11. </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 xml:space="preserve">Адрес электронной почты: omz@ugorsk.ru </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Номер контактного телефона: (34675) 50037</w:t>
      </w:r>
    </w:p>
    <w:p w:rsidR="00EB50C1" w:rsidRPr="00EB50C1" w:rsidRDefault="00EB50C1" w:rsidP="00EB50C1">
      <w:pPr>
        <w:tabs>
          <w:tab w:val="left"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Ответственное должностное лицо: начальник отдела муниципальных закупок Захарова Наталья Борисовна.</w:t>
      </w:r>
    </w:p>
    <w:p w:rsidR="00EB50C1" w:rsidRPr="00EB50C1" w:rsidRDefault="00EB50C1" w:rsidP="00EB50C1">
      <w:pPr>
        <w:numPr>
          <w:ilvl w:val="1"/>
          <w:numId w:val="1"/>
        </w:numPr>
        <w:tabs>
          <w:tab w:val="num" w:pos="0"/>
          <w:tab w:val="left" w:pos="567"/>
          <w:tab w:val="num" w:pos="1075"/>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Специализированная организация: не привлекается</w:t>
      </w:r>
    </w:p>
    <w:p w:rsidR="00EB50C1" w:rsidRPr="00EB50C1" w:rsidRDefault="00EB50C1" w:rsidP="00EB50C1">
      <w:pPr>
        <w:numPr>
          <w:ilvl w:val="0"/>
          <w:numId w:val="1"/>
        </w:numPr>
        <w:tabs>
          <w:tab w:val="num" w:pos="0"/>
          <w:tab w:val="num" w:pos="567"/>
        </w:tabs>
        <w:autoSpaceDE w:val="0"/>
        <w:autoSpaceDN w:val="0"/>
        <w:adjustRightInd w:val="0"/>
        <w:spacing w:after="0" w:line="240" w:lineRule="auto"/>
        <w:ind w:left="284" w:hanging="284"/>
        <w:jc w:val="both"/>
        <w:rPr>
          <w:rFonts w:ascii="Times New Roman" w:eastAsia="Times New Roman" w:hAnsi="Times New Roman" w:cs="Arial"/>
          <w:lang w:eastAsia="ru-RU"/>
        </w:rPr>
      </w:pPr>
      <w:r w:rsidRPr="00EB50C1">
        <w:rPr>
          <w:rFonts w:ascii="Times New Roman" w:eastAsia="Times New Roman" w:hAnsi="Times New Roman" w:cs="Arial"/>
          <w:lang w:eastAsia="ru-RU"/>
        </w:rPr>
        <w:t>Адрес электронной площадки в информационно-телекоммуникационной сети «Интернет»: http://sberbank-ast.ru/</w:t>
      </w:r>
    </w:p>
    <w:p w:rsidR="00EB50C1" w:rsidRDefault="00EB50C1" w:rsidP="00EB50C1">
      <w:pPr>
        <w:numPr>
          <w:ilvl w:val="0"/>
          <w:numId w:val="1"/>
        </w:numPr>
        <w:tabs>
          <w:tab w:val="num" w:pos="0"/>
        </w:tabs>
        <w:autoSpaceDE w:val="0"/>
        <w:autoSpaceDN w:val="0"/>
        <w:adjustRightInd w:val="0"/>
        <w:spacing w:after="0" w:line="240" w:lineRule="auto"/>
        <w:ind w:left="284" w:hanging="284"/>
        <w:rPr>
          <w:rFonts w:ascii="Times New Roman" w:eastAsia="Times New Roman" w:hAnsi="Times New Roman" w:cs="Arial"/>
          <w:lang w:eastAsia="ru-RU"/>
        </w:rPr>
      </w:pPr>
      <w:r w:rsidRPr="00EB50C1">
        <w:rPr>
          <w:rFonts w:ascii="Times New Roman" w:eastAsia="Times New Roman" w:hAnsi="Times New Roman" w:cs="Arial"/>
          <w:lang w:eastAsia="ru-RU"/>
        </w:rPr>
        <w:t>Предмет и начальная (максимальная) цена гражданско-правового договора:</w:t>
      </w:r>
    </w:p>
    <w:tbl>
      <w:tblPr>
        <w:tblStyle w:val="a3"/>
        <w:tblW w:w="10631" w:type="dxa"/>
        <w:tblInd w:w="250" w:type="dxa"/>
        <w:tblLayout w:type="fixed"/>
        <w:tblLook w:val="04A0"/>
      </w:tblPr>
      <w:tblGrid>
        <w:gridCol w:w="425"/>
        <w:gridCol w:w="1276"/>
        <w:gridCol w:w="1134"/>
        <w:gridCol w:w="2552"/>
        <w:gridCol w:w="850"/>
        <w:gridCol w:w="709"/>
        <w:gridCol w:w="1417"/>
        <w:gridCol w:w="1134"/>
        <w:gridCol w:w="1134"/>
      </w:tblGrid>
      <w:tr w:rsidR="00512E41" w:rsidRPr="00512E41" w:rsidTr="00213AA3">
        <w:tc>
          <w:tcPr>
            <w:tcW w:w="425" w:type="dxa"/>
          </w:tcPr>
          <w:p w:rsidR="00512E41" w:rsidRPr="00512E41" w:rsidRDefault="00512E41" w:rsidP="00512E41">
            <w:pPr>
              <w:rPr>
                <w:b/>
              </w:rPr>
            </w:pPr>
            <w:r w:rsidRPr="00512E41">
              <w:rPr>
                <w:b/>
              </w:rPr>
              <w:t>№п./</w:t>
            </w:r>
            <w:proofErr w:type="gramStart"/>
            <w:r w:rsidRPr="00512E41">
              <w:rPr>
                <w:b/>
              </w:rPr>
              <w:t>п</w:t>
            </w:r>
            <w:proofErr w:type="gramEnd"/>
          </w:p>
        </w:tc>
        <w:tc>
          <w:tcPr>
            <w:tcW w:w="1276" w:type="dxa"/>
          </w:tcPr>
          <w:p w:rsidR="00512E41" w:rsidRPr="00512E41" w:rsidRDefault="00512E41" w:rsidP="00512E41">
            <w:pPr>
              <w:rPr>
                <w:b/>
              </w:rPr>
            </w:pPr>
            <w:r w:rsidRPr="00512E41">
              <w:rPr>
                <w:b/>
              </w:rPr>
              <w:t>Код ОКПД</w:t>
            </w:r>
          </w:p>
        </w:tc>
        <w:tc>
          <w:tcPr>
            <w:tcW w:w="1134" w:type="dxa"/>
          </w:tcPr>
          <w:p w:rsidR="00512E41" w:rsidRPr="00512E41" w:rsidRDefault="00512E41" w:rsidP="00512E41">
            <w:pPr>
              <w:rPr>
                <w:b/>
              </w:rPr>
            </w:pPr>
            <w:r w:rsidRPr="00512E41">
              <w:rPr>
                <w:b/>
              </w:rPr>
              <w:t>Наименование товара</w:t>
            </w:r>
          </w:p>
        </w:tc>
        <w:tc>
          <w:tcPr>
            <w:tcW w:w="2552" w:type="dxa"/>
          </w:tcPr>
          <w:p w:rsidR="00512E41" w:rsidRPr="00512E41" w:rsidRDefault="00512E41" w:rsidP="00512E41">
            <w:pPr>
              <w:jc w:val="center"/>
              <w:rPr>
                <w:b/>
              </w:rPr>
            </w:pPr>
            <w:r w:rsidRPr="00512E41">
              <w:rPr>
                <w:b/>
              </w:rPr>
              <w:t>Характеристика</w:t>
            </w:r>
          </w:p>
        </w:tc>
        <w:tc>
          <w:tcPr>
            <w:tcW w:w="850" w:type="dxa"/>
          </w:tcPr>
          <w:p w:rsidR="00512E41" w:rsidRPr="00512E41" w:rsidRDefault="00512E41" w:rsidP="00512E41">
            <w:pPr>
              <w:jc w:val="center"/>
              <w:rPr>
                <w:b/>
              </w:rPr>
            </w:pPr>
            <w:r w:rsidRPr="00512E41">
              <w:rPr>
                <w:b/>
              </w:rPr>
              <w:t>Ед. изм.</w:t>
            </w:r>
          </w:p>
        </w:tc>
        <w:tc>
          <w:tcPr>
            <w:tcW w:w="709" w:type="dxa"/>
          </w:tcPr>
          <w:p w:rsidR="00512E41" w:rsidRPr="00512E41" w:rsidRDefault="00512E41" w:rsidP="00512E41">
            <w:pPr>
              <w:jc w:val="center"/>
              <w:rPr>
                <w:b/>
              </w:rPr>
            </w:pPr>
            <w:r w:rsidRPr="00512E41">
              <w:rPr>
                <w:b/>
              </w:rPr>
              <w:t>Кол-во</w:t>
            </w:r>
          </w:p>
        </w:tc>
        <w:tc>
          <w:tcPr>
            <w:tcW w:w="1417" w:type="dxa"/>
          </w:tcPr>
          <w:p w:rsidR="00512E41" w:rsidRPr="00512E41" w:rsidRDefault="00512E41" w:rsidP="00512E41">
            <w:pPr>
              <w:jc w:val="center"/>
              <w:rPr>
                <w:b/>
              </w:rPr>
            </w:pPr>
            <w:r w:rsidRPr="00512E41">
              <w:rPr>
                <w:b/>
              </w:rPr>
              <w:t>Эскиз</w:t>
            </w:r>
          </w:p>
        </w:tc>
        <w:tc>
          <w:tcPr>
            <w:tcW w:w="1134" w:type="dxa"/>
          </w:tcPr>
          <w:p w:rsidR="00512E41" w:rsidRPr="00512E41" w:rsidRDefault="00512E41" w:rsidP="00512E41">
            <w:pPr>
              <w:jc w:val="center"/>
              <w:rPr>
                <w:b/>
              </w:rPr>
            </w:pPr>
            <w:r>
              <w:rPr>
                <w:b/>
              </w:rPr>
              <w:t xml:space="preserve">Цена, </w:t>
            </w:r>
            <w:proofErr w:type="spellStart"/>
            <w:r>
              <w:rPr>
                <w:b/>
              </w:rPr>
              <w:t>руб</w:t>
            </w:r>
            <w:proofErr w:type="spellEnd"/>
          </w:p>
        </w:tc>
        <w:tc>
          <w:tcPr>
            <w:tcW w:w="1134" w:type="dxa"/>
          </w:tcPr>
          <w:p w:rsidR="00512E41" w:rsidRPr="00512E41" w:rsidRDefault="00512E41" w:rsidP="00512E41">
            <w:pPr>
              <w:jc w:val="center"/>
              <w:rPr>
                <w:b/>
              </w:rPr>
            </w:pPr>
            <w:proofErr w:type="spellStart"/>
            <w:r>
              <w:rPr>
                <w:b/>
              </w:rPr>
              <w:t>Сумма</w:t>
            </w:r>
            <w:proofErr w:type="gramStart"/>
            <w:r>
              <w:rPr>
                <w:b/>
              </w:rPr>
              <w:t>,р</w:t>
            </w:r>
            <w:proofErr w:type="gramEnd"/>
            <w:r>
              <w:rPr>
                <w:b/>
              </w:rPr>
              <w:t>уб</w:t>
            </w:r>
            <w:proofErr w:type="spellEnd"/>
            <w:r>
              <w:rPr>
                <w:b/>
              </w:rPr>
              <w:t>.</w:t>
            </w:r>
          </w:p>
        </w:tc>
      </w:tr>
      <w:tr w:rsidR="00512E41" w:rsidRPr="00213AA3" w:rsidTr="00213AA3">
        <w:tc>
          <w:tcPr>
            <w:tcW w:w="425" w:type="dxa"/>
          </w:tcPr>
          <w:p w:rsidR="00512E41" w:rsidRPr="00512E41" w:rsidRDefault="00512E41" w:rsidP="00512E41">
            <w:r w:rsidRPr="00512E41">
              <w:t>1</w:t>
            </w:r>
          </w:p>
        </w:tc>
        <w:tc>
          <w:tcPr>
            <w:tcW w:w="1276" w:type="dxa"/>
          </w:tcPr>
          <w:p w:rsidR="00512E41" w:rsidRPr="00213AA3" w:rsidRDefault="007015AE" w:rsidP="00512E41">
            <w:pPr>
              <w:rPr>
                <w:sz w:val="18"/>
                <w:szCs w:val="18"/>
              </w:rPr>
            </w:pPr>
            <w:r w:rsidRPr="00213AA3">
              <w:rPr>
                <w:sz w:val="18"/>
                <w:szCs w:val="18"/>
              </w:rPr>
              <w:t>36.40.14.279</w:t>
            </w:r>
          </w:p>
        </w:tc>
        <w:tc>
          <w:tcPr>
            <w:tcW w:w="1134" w:type="dxa"/>
          </w:tcPr>
          <w:p w:rsidR="00512E41" w:rsidRPr="00213AA3" w:rsidRDefault="00512E41" w:rsidP="00512E41">
            <w:pPr>
              <w:rPr>
                <w:sz w:val="18"/>
                <w:szCs w:val="18"/>
              </w:rPr>
            </w:pPr>
            <w:r w:rsidRPr="00213AA3">
              <w:rPr>
                <w:sz w:val="18"/>
                <w:szCs w:val="18"/>
              </w:rPr>
              <w:t xml:space="preserve">Игровой комплекс </w:t>
            </w:r>
          </w:p>
        </w:tc>
        <w:tc>
          <w:tcPr>
            <w:tcW w:w="2552" w:type="dxa"/>
          </w:tcPr>
          <w:p w:rsidR="00512E41" w:rsidRPr="00213AA3" w:rsidRDefault="007015AE" w:rsidP="007015AE">
            <w:pPr>
              <w:jc w:val="both"/>
              <w:rPr>
                <w:sz w:val="18"/>
                <w:szCs w:val="18"/>
              </w:rPr>
            </w:pPr>
            <w:r w:rsidRPr="00213AA3">
              <w:rPr>
                <w:sz w:val="18"/>
                <w:szCs w:val="18"/>
              </w:rPr>
              <w:t>Площадь</w:t>
            </w:r>
            <w:r w:rsidR="00512E41" w:rsidRPr="00213AA3">
              <w:rPr>
                <w:sz w:val="18"/>
                <w:szCs w:val="18"/>
              </w:rPr>
              <w:t xml:space="preserve"> установки: не более 50 кв.м.</w:t>
            </w:r>
          </w:p>
          <w:p w:rsidR="00512E41" w:rsidRPr="00213AA3" w:rsidRDefault="007015AE" w:rsidP="007015AE">
            <w:pPr>
              <w:jc w:val="both"/>
              <w:rPr>
                <w:sz w:val="18"/>
                <w:szCs w:val="18"/>
              </w:rPr>
            </w:pPr>
            <w:r w:rsidRPr="00213AA3">
              <w:rPr>
                <w:sz w:val="18"/>
                <w:szCs w:val="18"/>
              </w:rPr>
              <w:t>Размер:</w:t>
            </w:r>
            <w:r w:rsidR="00C615D7" w:rsidRPr="00213AA3">
              <w:rPr>
                <w:sz w:val="18"/>
                <w:szCs w:val="18"/>
              </w:rPr>
              <w:t xml:space="preserve"> длина не более </w:t>
            </w:r>
            <w:r w:rsidR="00512E41" w:rsidRPr="00213AA3">
              <w:rPr>
                <w:sz w:val="18"/>
                <w:szCs w:val="18"/>
              </w:rPr>
              <w:t>7930</w:t>
            </w:r>
            <w:r w:rsidR="00C615D7" w:rsidRPr="00213AA3">
              <w:rPr>
                <w:sz w:val="18"/>
                <w:szCs w:val="18"/>
              </w:rPr>
              <w:t xml:space="preserve"> см., ширина не более </w:t>
            </w:r>
            <w:r w:rsidR="00512E41" w:rsidRPr="00213AA3">
              <w:rPr>
                <w:sz w:val="18"/>
                <w:szCs w:val="18"/>
              </w:rPr>
              <w:t xml:space="preserve"> 2795</w:t>
            </w:r>
            <w:r w:rsidR="00C615D7" w:rsidRPr="00213AA3">
              <w:rPr>
                <w:sz w:val="18"/>
                <w:szCs w:val="18"/>
              </w:rPr>
              <w:t xml:space="preserve"> см., высота не более </w:t>
            </w:r>
            <w:r w:rsidR="00512E41" w:rsidRPr="00213AA3">
              <w:rPr>
                <w:sz w:val="18"/>
                <w:szCs w:val="18"/>
              </w:rPr>
              <w:t xml:space="preserve"> 4100</w:t>
            </w:r>
            <w:r w:rsidR="00C615D7" w:rsidRPr="00213AA3">
              <w:rPr>
                <w:sz w:val="18"/>
                <w:szCs w:val="18"/>
              </w:rPr>
              <w:t xml:space="preserve"> см.</w:t>
            </w:r>
          </w:p>
          <w:p w:rsidR="00512E41" w:rsidRPr="00213AA3" w:rsidRDefault="00512E41" w:rsidP="007015AE">
            <w:pPr>
              <w:jc w:val="both"/>
              <w:rPr>
                <w:sz w:val="18"/>
                <w:szCs w:val="18"/>
              </w:rPr>
            </w:pPr>
            <w:r w:rsidRPr="00213AA3">
              <w:rPr>
                <w:sz w:val="18"/>
                <w:szCs w:val="18"/>
              </w:rPr>
              <w:t>Сварная конструкция по ГОСТ 14771-76.</w:t>
            </w:r>
          </w:p>
          <w:p w:rsidR="00512E41" w:rsidRPr="00213AA3" w:rsidRDefault="00512E41" w:rsidP="007015AE">
            <w:pPr>
              <w:jc w:val="both"/>
              <w:rPr>
                <w:sz w:val="18"/>
                <w:szCs w:val="18"/>
              </w:rPr>
            </w:pPr>
            <w:r w:rsidRPr="00213AA3">
              <w:rPr>
                <w:sz w:val="18"/>
                <w:szCs w:val="18"/>
              </w:rPr>
              <w:t>Материал: сталь/фанера/брус хвойных пород/стеклопластик</w:t>
            </w:r>
          </w:p>
          <w:p w:rsidR="00512E41" w:rsidRPr="00213AA3" w:rsidRDefault="00512E41" w:rsidP="007015AE">
            <w:pPr>
              <w:jc w:val="both"/>
              <w:rPr>
                <w:sz w:val="18"/>
                <w:szCs w:val="18"/>
              </w:rPr>
            </w:pPr>
            <w:r w:rsidRPr="00213AA3">
              <w:rPr>
                <w:sz w:val="18"/>
                <w:szCs w:val="18"/>
              </w:rPr>
              <w:t>Возрастная категория: 7-12л.</w:t>
            </w:r>
          </w:p>
          <w:p w:rsidR="00512E41" w:rsidRPr="00213AA3" w:rsidRDefault="00512E41" w:rsidP="007015AE">
            <w:pPr>
              <w:jc w:val="both"/>
              <w:rPr>
                <w:sz w:val="18"/>
                <w:szCs w:val="18"/>
              </w:rPr>
            </w:pPr>
            <w:r w:rsidRPr="00213AA3">
              <w:rPr>
                <w:sz w:val="18"/>
                <w:szCs w:val="18"/>
              </w:rPr>
              <w:t>Способ монтажа: с применением закладной фундаментной части</w:t>
            </w:r>
          </w:p>
          <w:p w:rsidR="007015AE" w:rsidRPr="00213AA3" w:rsidRDefault="007015AE" w:rsidP="00E87388">
            <w:pPr>
              <w:pStyle w:val="a7"/>
              <w:shd w:val="clear" w:color="auto" w:fill="FFFFFF"/>
              <w:spacing w:before="0" w:beforeAutospacing="0" w:after="200" w:afterAutospacing="0"/>
              <w:jc w:val="both"/>
              <w:textAlignment w:val="baseline"/>
              <w:rPr>
                <w:color w:val="000000"/>
                <w:sz w:val="18"/>
                <w:szCs w:val="18"/>
              </w:rPr>
            </w:pPr>
            <w:r w:rsidRPr="00213AA3">
              <w:rPr>
                <w:color w:val="000000"/>
                <w:sz w:val="18"/>
                <w:szCs w:val="18"/>
              </w:rPr>
              <w:t>Комплекс состоит из элементов: горк</w:t>
            </w:r>
            <w:r w:rsidR="00E87388" w:rsidRPr="00213AA3">
              <w:rPr>
                <w:color w:val="000000"/>
                <w:sz w:val="18"/>
                <w:szCs w:val="18"/>
              </w:rPr>
              <w:t>а</w:t>
            </w:r>
            <w:r w:rsidRPr="00213AA3">
              <w:rPr>
                <w:color w:val="000000"/>
                <w:sz w:val="18"/>
                <w:szCs w:val="18"/>
              </w:rPr>
              <w:t>, лаз, домик и переходов между ни</w:t>
            </w:r>
            <w:r w:rsidR="00E87388" w:rsidRPr="00213AA3">
              <w:rPr>
                <w:color w:val="000000"/>
                <w:sz w:val="18"/>
                <w:szCs w:val="18"/>
              </w:rPr>
              <w:t xml:space="preserve">ми, шведской стенки, </w:t>
            </w:r>
            <w:proofErr w:type="spellStart"/>
            <w:r w:rsidR="00E87388" w:rsidRPr="00213AA3">
              <w:rPr>
                <w:color w:val="000000"/>
                <w:sz w:val="18"/>
                <w:szCs w:val="18"/>
              </w:rPr>
              <w:t>рукохода</w:t>
            </w:r>
            <w:proofErr w:type="spellEnd"/>
            <w:r w:rsidR="00E87388" w:rsidRPr="00213AA3">
              <w:rPr>
                <w:color w:val="000000"/>
                <w:sz w:val="18"/>
                <w:szCs w:val="18"/>
              </w:rPr>
              <w:t xml:space="preserve">. </w:t>
            </w:r>
            <w:proofErr w:type="gramStart"/>
            <w:r w:rsidR="00E87388" w:rsidRPr="00213AA3">
              <w:rPr>
                <w:color w:val="000000"/>
                <w:sz w:val="18"/>
                <w:szCs w:val="18"/>
              </w:rPr>
              <w:t>О</w:t>
            </w:r>
            <w:r w:rsidRPr="00213AA3">
              <w:rPr>
                <w:color w:val="000000"/>
                <w:sz w:val="18"/>
                <w:szCs w:val="18"/>
              </w:rPr>
              <w:t>крашен</w:t>
            </w:r>
            <w:proofErr w:type="gramEnd"/>
            <w:r w:rsidRPr="00213AA3">
              <w:rPr>
                <w:color w:val="000000"/>
                <w:sz w:val="18"/>
                <w:szCs w:val="18"/>
              </w:rPr>
              <w:t xml:space="preserve"> в яркие цвета.</w:t>
            </w:r>
            <w:r w:rsidR="00C615D7" w:rsidRPr="00213AA3">
              <w:rPr>
                <w:color w:val="000000"/>
                <w:sz w:val="18"/>
                <w:szCs w:val="18"/>
              </w:rPr>
              <w:t xml:space="preserve"> </w:t>
            </w:r>
            <w:r w:rsidRPr="00213AA3">
              <w:rPr>
                <w:color w:val="000000"/>
                <w:sz w:val="18"/>
                <w:szCs w:val="18"/>
              </w:rPr>
              <w:t>На всех элементах конструкции и их соединений отсутствуют шероховатости, острые и колющие углы и грани, Горка имеет пологий скат</w:t>
            </w:r>
            <w:r w:rsidR="00960A86" w:rsidRPr="00213AA3">
              <w:rPr>
                <w:color w:val="000000"/>
                <w:sz w:val="18"/>
                <w:szCs w:val="18"/>
              </w:rPr>
              <w:t xml:space="preserve"> не более 80 см.</w:t>
            </w:r>
          </w:p>
        </w:tc>
        <w:tc>
          <w:tcPr>
            <w:tcW w:w="850" w:type="dxa"/>
          </w:tcPr>
          <w:p w:rsidR="00512E41" w:rsidRPr="00213AA3" w:rsidRDefault="00512E41" w:rsidP="00512E41">
            <w:pPr>
              <w:jc w:val="center"/>
              <w:rPr>
                <w:sz w:val="18"/>
                <w:szCs w:val="18"/>
              </w:rPr>
            </w:pPr>
            <w:r w:rsidRPr="00213AA3">
              <w:rPr>
                <w:sz w:val="18"/>
                <w:szCs w:val="18"/>
              </w:rPr>
              <w:t>шт.</w:t>
            </w:r>
          </w:p>
        </w:tc>
        <w:tc>
          <w:tcPr>
            <w:tcW w:w="709" w:type="dxa"/>
          </w:tcPr>
          <w:p w:rsidR="00512E41" w:rsidRPr="00213AA3" w:rsidRDefault="00512E41" w:rsidP="00512E41">
            <w:pPr>
              <w:jc w:val="center"/>
              <w:rPr>
                <w:sz w:val="18"/>
                <w:szCs w:val="18"/>
              </w:rPr>
            </w:pPr>
            <w:r w:rsidRPr="00213AA3">
              <w:rPr>
                <w:sz w:val="18"/>
                <w:szCs w:val="18"/>
              </w:rPr>
              <w:t>1</w:t>
            </w:r>
          </w:p>
        </w:tc>
        <w:tc>
          <w:tcPr>
            <w:tcW w:w="1417" w:type="dxa"/>
          </w:tcPr>
          <w:p w:rsidR="00512E41" w:rsidRPr="00213AA3" w:rsidRDefault="00512E41" w:rsidP="00512E41">
            <w:pPr>
              <w:jc w:val="center"/>
              <w:rPr>
                <w:sz w:val="18"/>
                <w:szCs w:val="18"/>
              </w:rPr>
            </w:pPr>
            <w:r w:rsidRPr="00213AA3">
              <w:rPr>
                <w:noProof/>
                <w:sz w:val="18"/>
                <w:szCs w:val="18"/>
              </w:rPr>
              <w:drawing>
                <wp:inline distT="0" distB="0" distL="0" distR="0">
                  <wp:extent cx="675186" cy="571500"/>
                  <wp:effectExtent l="0" t="0" r="0" b="0"/>
                  <wp:docPr id="1" name="Рисунок 377" descr="DI67_Mikk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Рисунок 377" descr="DI67_Mikki.jpg"/>
                          <pic:cNvPicPr>
                            <a:picLocks/>
                          </pic:cNvPicPr>
                        </pic:nvPicPr>
                        <pic:blipFill>
                          <a:blip r:embed="rId5" cstate="print"/>
                          <a:stretch>
                            <a:fillRect/>
                          </a:stretch>
                        </pic:blipFill>
                        <pic:spPr>
                          <a:xfrm>
                            <a:off x="0" y="0"/>
                            <a:ext cx="675186" cy="571500"/>
                          </a:xfrm>
                          <a:prstGeom prst="rect">
                            <a:avLst/>
                          </a:prstGeom>
                        </pic:spPr>
                      </pic:pic>
                    </a:graphicData>
                  </a:graphic>
                </wp:inline>
              </w:drawing>
            </w:r>
          </w:p>
        </w:tc>
        <w:tc>
          <w:tcPr>
            <w:tcW w:w="1134" w:type="dxa"/>
          </w:tcPr>
          <w:p w:rsidR="00512E41" w:rsidRPr="00213AA3" w:rsidRDefault="00512E41" w:rsidP="00512E41">
            <w:pPr>
              <w:jc w:val="center"/>
              <w:rPr>
                <w:noProof/>
                <w:sz w:val="18"/>
                <w:szCs w:val="18"/>
              </w:rPr>
            </w:pPr>
            <w:r w:rsidRPr="00213AA3">
              <w:rPr>
                <w:noProof/>
                <w:sz w:val="18"/>
                <w:szCs w:val="18"/>
              </w:rPr>
              <w:t>259</w:t>
            </w:r>
            <w:r w:rsidR="00960A86" w:rsidRPr="00213AA3">
              <w:rPr>
                <w:noProof/>
                <w:sz w:val="18"/>
                <w:szCs w:val="18"/>
              </w:rPr>
              <w:t xml:space="preserve"> </w:t>
            </w:r>
            <w:r w:rsidRPr="00213AA3">
              <w:rPr>
                <w:noProof/>
                <w:sz w:val="18"/>
                <w:szCs w:val="18"/>
              </w:rPr>
              <w:t>918,00</w:t>
            </w:r>
          </w:p>
        </w:tc>
        <w:tc>
          <w:tcPr>
            <w:tcW w:w="1134" w:type="dxa"/>
          </w:tcPr>
          <w:p w:rsidR="00512E41" w:rsidRPr="00213AA3" w:rsidRDefault="00512E41" w:rsidP="00512E41">
            <w:pPr>
              <w:jc w:val="center"/>
              <w:rPr>
                <w:noProof/>
                <w:sz w:val="18"/>
                <w:szCs w:val="18"/>
              </w:rPr>
            </w:pPr>
            <w:r w:rsidRPr="00213AA3">
              <w:rPr>
                <w:noProof/>
                <w:sz w:val="18"/>
                <w:szCs w:val="18"/>
              </w:rPr>
              <w:t>259</w:t>
            </w:r>
            <w:r w:rsidR="00960A86" w:rsidRPr="00213AA3">
              <w:rPr>
                <w:noProof/>
                <w:sz w:val="18"/>
                <w:szCs w:val="18"/>
              </w:rPr>
              <w:t xml:space="preserve"> </w:t>
            </w:r>
            <w:r w:rsidRPr="00213AA3">
              <w:rPr>
                <w:noProof/>
                <w:sz w:val="18"/>
                <w:szCs w:val="18"/>
              </w:rPr>
              <w:t>918,00</w:t>
            </w:r>
          </w:p>
        </w:tc>
      </w:tr>
      <w:tr w:rsidR="00512E41" w:rsidRPr="00213AA3" w:rsidTr="00213AA3">
        <w:tc>
          <w:tcPr>
            <w:tcW w:w="425" w:type="dxa"/>
          </w:tcPr>
          <w:p w:rsidR="00512E41" w:rsidRPr="00512E41" w:rsidRDefault="00512E41" w:rsidP="00512E41">
            <w:r w:rsidRPr="00512E41">
              <w:t>2</w:t>
            </w:r>
          </w:p>
        </w:tc>
        <w:tc>
          <w:tcPr>
            <w:tcW w:w="1276" w:type="dxa"/>
          </w:tcPr>
          <w:p w:rsidR="00512E41" w:rsidRPr="00213AA3" w:rsidRDefault="00213AA3" w:rsidP="00512E41">
            <w:pPr>
              <w:rPr>
                <w:sz w:val="18"/>
                <w:szCs w:val="18"/>
              </w:rPr>
            </w:pPr>
            <w:r w:rsidRPr="00213AA3">
              <w:rPr>
                <w:sz w:val="18"/>
                <w:szCs w:val="18"/>
              </w:rPr>
              <w:t>28.11.23.190</w:t>
            </w:r>
          </w:p>
        </w:tc>
        <w:tc>
          <w:tcPr>
            <w:tcW w:w="1134" w:type="dxa"/>
          </w:tcPr>
          <w:p w:rsidR="00512E41" w:rsidRPr="00213AA3" w:rsidRDefault="00512E41" w:rsidP="00512E41">
            <w:pPr>
              <w:rPr>
                <w:sz w:val="18"/>
                <w:szCs w:val="18"/>
              </w:rPr>
            </w:pPr>
            <w:r w:rsidRPr="00213AA3">
              <w:rPr>
                <w:sz w:val="18"/>
                <w:szCs w:val="18"/>
              </w:rPr>
              <w:t xml:space="preserve">Горка </w:t>
            </w:r>
          </w:p>
        </w:tc>
        <w:tc>
          <w:tcPr>
            <w:tcW w:w="2552" w:type="dxa"/>
          </w:tcPr>
          <w:p w:rsidR="00512E41" w:rsidRPr="00213AA3" w:rsidRDefault="00C615D7" w:rsidP="00512E41">
            <w:pPr>
              <w:jc w:val="both"/>
              <w:rPr>
                <w:sz w:val="18"/>
                <w:szCs w:val="18"/>
              </w:rPr>
            </w:pPr>
            <w:r w:rsidRPr="00213AA3">
              <w:rPr>
                <w:sz w:val="18"/>
                <w:szCs w:val="18"/>
              </w:rPr>
              <w:t>Площадь</w:t>
            </w:r>
            <w:r w:rsidR="00512E41" w:rsidRPr="00213AA3">
              <w:rPr>
                <w:sz w:val="18"/>
                <w:szCs w:val="18"/>
              </w:rPr>
              <w:t xml:space="preserve"> установки:  не более 8 кв.м.</w:t>
            </w:r>
          </w:p>
          <w:p w:rsidR="00512E41" w:rsidRPr="00213AA3" w:rsidRDefault="00C615D7" w:rsidP="00512E41">
            <w:pPr>
              <w:jc w:val="both"/>
              <w:rPr>
                <w:sz w:val="18"/>
                <w:szCs w:val="18"/>
              </w:rPr>
            </w:pPr>
            <w:r w:rsidRPr="00213AA3">
              <w:rPr>
                <w:sz w:val="18"/>
                <w:szCs w:val="18"/>
              </w:rPr>
              <w:t xml:space="preserve">Размер: Длина не более </w:t>
            </w:r>
            <w:r w:rsidR="00512E41" w:rsidRPr="00213AA3">
              <w:rPr>
                <w:sz w:val="18"/>
                <w:szCs w:val="18"/>
              </w:rPr>
              <w:t>3800</w:t>
            </w:r>
            <w:r w:rsidRPr="00213AA3">
              <w:rPr>
                <w:sz w:val="18"/>
                <w:szCs w:val="18"/>
              </w:rPr>
              <w:t xml:space="preserve"> см, ширина не более</w:t>
            </w:r>
            <w:r w:rsidR="00512E41" w:rsidRPr="00213AA3">
              <w:rPr>
                <w:sz w:val="18"/>
                <w:szCs w:val="18"/>
              </w:rPr>
              <w:t xml:space="preserve"> 1250</w:t>
            </w:r>
            <w:r w:rsidRPr="00213AA3">
              <w:rPr>
                <w:sz w:val="18"/>
                <w:szCs w:val="18"/>
              </w:rPr>
              <w:t xml:space="preserve"> см,</w:t>
            </w:r>
            <w:r w:rsidR="00512E41" w:rsidRPr="00213AA3">
              <w:rPr>
                <w:sz w:val="18"/>
                <w:szCs w:val="18"/>
              </w:rPr>
              <w:t xml:space="preserve"> </w:t>
            </w:r>
            <w:r w:rsidRPr="00213AA3">
              <w:rPr>
                <w:sz w:val="18"/>
                <w:szCs w:val="18"/>
              </w:rPr>
              <w:t xml:space="preserve">высота не более </w:t>
            </w:r>
            <w:r w:rsidR="00512E41" w:rsidRPr="00213AA3">
              <w:rPr>
                <w:sz w:val="18"/>
                <w:szCs w:val="18"/>
              </w:rPr>
              <w:t xml:space="preserve"> 1800</w:t>
            </w:r>
            <w:r w:rsidRPr="00213AA3">
              <w:rPr>
                <w:sz w:val="18"/>
                <w:szCs w:val="18"/>
              </w:rPr>
              <w:t xml:space="preserve"> см.</w:t>
            </w:r>
            <w:r w:rsidR="00E87388" w:rsidRPr="00213AA3">
              <w:rPr>
                <w:sz w:val="18"/>
                <w:szCs w:val="18"/>
              </w:rPr>
              <w:t xml:space="preserve"> Гор</w:t>
            </w:r>
            <w:r w:rsidR="00960A86" w:rsidRPr="00213AA3">
              <w:rPr>
                <w:sz w:val="18"/>
                <w:szCs w:val="18"/>
              </w:rPr>
              <w:t>ка имеет пологий скат не более 80 см.</w:t>
            </w:r>
          </w:p>
          <w:p w:rsidR="00512E41" w:rsidRPr="00213AA3" w:rsidRDefault="00512E41" w:rsidP="00512E41">
            <w:pPr>
              <w:jc w:val="both"/>
              <w:rPr>
                <w:sz w:val="18"/>
                <w:szCs w:val="18"/>
              </w:rPr>
            </w:pPr>
            <w:r w:rsidRPr="00213AA3">
              <w:rPr>
                <w:sz w:val="18"/>
                <w:szCs w:val="18"/>
              </w:rPr>
              <w:t>Сварная конструкция по ГОСТ 14771-76.</w:t>
            </w:r>
          </w:p>
          <w:p w:rsidR="00512E41" w:rsidRPr="00213AA3" w:rsidRDefault="00512E41" w:rsidP="00512E41">
            <w:pPr>
              <w:jc w:val="both"/>
              <w:rPr>
                <w:sz w:val="18"/>
                <w:szCs w:val="18"/>
              </w:rPr>
            </w:pPr>
            <w:r w:rsidRPr="00213AA3">
              <w:rPr>
                <w:sz w:val="18"/>
                <w:szCs w:val="18"/>
              </w:rPr>
              <w:t>Материал: сталь/фанера/брус хвойных пород.</w:t>
            </w:r>
            <w:r w:rsidR="00960A86" w:rsidRPr="00213AA3">
              <w:rPr>
                <w:sz w:val="18"/>
                <w:szCs w:val="18"/>
              </w:rPr>
              <w:t xml:space="preserve"> </w:t>
            </w:r>
            <w:proofErr w:type="gramStart"/>
            <w:r w:rsidR="00960A86" w:rsidRPr="00213AA3">
              <w:rPr>
                <w:sz w:val="18"/>
                <w:szCs w:val="18"/>
              </w:rPr>
              <w:t>Окрашена</w:t>
            </w:r>
            <w:proofErr w:type="gramEnd"/>
            <w:r w:rsidR="00960A86" w:rsidRPr="00213AA3">
              <w:rPr>
                <w:sz w:val="18"/>
                <w:szCs w:val="18"/>
              </w:rPr>
              <w:t xml:space="preserve"> в яркие цвета.</w:t>
            </w:r>
          </w:p>
          <w:p w:rsidR="00512E41" w:rsidRPr="00213AA3" w:rsidRDefault="00512E41" w:rsidP="00512E41">
            <w:pPr>
              <w:jc w:val="both"/>
              <w:rPr>
                <w:sz w:val="18"/>
                <w:szCs w:val="18"/>
              </w:rPr>
            </w:pPr>
            <w:r w:rsidRPr="00213AA3">
              <w:rPr>
                <w:sz w:val="18"/>
                <w:szCs w:val="18"/>
              </w:rPr>
              <w:t xml:space="preserve">Возрастная категория: </w:t>
            </w:r>
            <w:r w:rsidR="00960A86" w:rsidRPr="00213AA3">
              <w:rPr>
                <w:sz w:val="18"/>
                <w:szCs w:val="18"/>
              </w:rPr>
              <w:t>3-5 л.</w:t>
            </w:r>
          </w:p>
          <w:p w:rsidR="00512E41" w:rsidRPr="00213AA3" w:rsidRDefault="00512E41" w:rsidP="00512E41">
            <w:pPr>
              <w:jc w:val="both"/>
              <w:rPr>
                <w:sz w:val="18"/>
                <w:szCs w:val="18"/>
              </w:rPr>
            </w:pPr>
            <w:r w:rsidRPr="00213AA3">
              <w:rPr>
                <w:sz w:val="18"/>
                <w:szCs w:val="18"/>
              </w:rPr>
              <w:t xml:space="preserve">Способ монтажа: с </w:t>
            </w:r>
            <w:r w:rsidRPr="00213AA3">
              <w:rPr>
                <w:sz w:val="18"/>
                <w:szCs w:val="18"/>
              </w:rPr>
              <w:lastRenderedPageBreak/>
              <w:t>применением закладной фундаментной части</w:t>
            </w:r>
          </w:p>
        </w:tc>
        <w:tc>
          <w:tcPr>
            <w:tcW w:w="850" w:type="dxa"/>
          </w:tcPr>
          <w:p w:rsidR="00512E41" w:rsidRPr="00213AA3" w:rsidRDefault="00512E41" w:rsidP="00512E41">
            <w:pPr>
              <w:jc w:val="center"/>
              <w:rPr>
                <w:sz w:val="18"/>
                <w:szCs w:val="18"/>
              </w:rPr>
            </w:pPr>
            <w:r w:rsidRPr="00213AA3">
              <w:rPr>
                <w:sz w:val="18"/>
                <w:szCs w:val="18"/>
              </w:rPr>
              <w:lastRenderedPageBreak/>
              <w:t>шт.</w:t>
            </w:r>
          </w:p>
        </w:tc>
        <w:tc>
          <w:tcPr>
            <w:tcW w:w="709" w:type="dxa"/>
          </w:tcPr>
          <w:p w:rsidR="00512E41" w:rsidRPr="00213AA3" w:rsidRDefault="00512E41" w:rsidP="00512E41">
            <w:pPr>
              <w:jc w:val="center"/>
              <w:rPr>
                <w:sz w:val="18"/>
                <w:szCs w:val="18"/>
              </w:rPr>
            </w:pPr>
            <w:r w:rsidRPr="00213AA3">
              <w:rPr>
                <w:sz w:val="18"/>
                <w:szCs w:val="18"/>
              </w:rPr>
              <w:t>2</w:t>
            </w:r>
          </w:p>
        </w:tc>
        <w:tc>
          <w:tcPr>
            <w:tcW w:w="1417" w:type="dxa"/>
          </w:tcPr>
          <w:p w:rsidR="00512E41" w:rsidRPr="00213AA3" w:rsidRDefault="00512E41" w:rsidP="00512E41">
            <w:pPr>
              <w:jc w:val="center"/>
              <w:rPr>
                <w:noProof/>
                <w:sz w:val="18"/>
                <w:szCs w:val="18"/>
              </w:rPr>
            </w:pPr>
            <w:r w:rsidRPr="00213AA3">
              <w:rPr>
                <w:noProof/>
                <w:sz w:val="18"/>
                <w:szCs w:val="18"/>
              </w:rPr>
              <w:drawing>
                <wp:inline distT="0" distB="0" distL="0" distR="0">
                  <wp:extent cx="596475" cy="571500"/>
                  <wp:effectExtent l="0" t="0" r="0" b="0"/>
                  <wp:docPr id="2" name="Рисунок 419" descr="DI89_Gorka-manezh-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Рисунок 419" descr="DI89_Gorka-manezh-2.jpg"/>
                          <pic:cNvPicPr>
                            <a:picLocks/>
                          </pic:cNvPicPr>
                        </pic:nvPicPr>
                        <pic:blipFill>
                          <a:blip r:embed="rId6" cstate="print"/>
                          <a:stretch>
                            <a:fillRect/>
                          </a:stretch>
                        </pic:blipFill>
                        <pic:spPr>
                          <a:xfrm>
                            <a:off x="0" y="0"/>
                            <a:ext cx="596475" cy="571500"/>
                          </a:xfrm>
                          <a:prstGeom prst="rect">
                            <a:avLst/>
                          </a:prstGeom>
                        </pic:spPr>
                      </pic:pic>
                    </a:graphicData>
                  </a:graphic>
                </wp:inline>
              </w:drawing>
            </w:r>
          </w:p>
        </w:tc>
        <w:tc>
          <w:tcPr>
            <w:tcW w:w="1134" w:type="dxa"/>
          </w:tcPr>
          <w:p w:rsidR="00512E41" w:rsidRPr="00213AA3" w:rsidRDefault="00512E41" w:rsidP="00512E41">
            <w:pPr>
              <w:jc w:val="center"/>
              <w:rPr>
                <w:noProof/>
                <w:sz w:val="18"/>
                <w:szCs w:val="18"/>
              </w:rPr>
            </w:pPr>
            <w:r w:rsidRPr="00213AA3">
              <w:rPr>
                <w:noProof/>
                <w:sz w:val="18"/>
                <w:szCs w:val="18"/>
              </w:rPr>
              <w:t>53</w:t>
            </w:r>
            <w:r w:rsidR="00960A86" w:rsidRPr="00213AA3">
              <w:rPr>
                <w:noProof/>
                <w:sz w:val="18"/>
                <w:szCs w:val="18"/>
              </w:rPr>
              <w:t xml:space="preserve"> </w:t>
            </w:r>
            <w:r w:rsidRPr="00213AA3">
              <w:rPr>
                <w:noProof/>
                <w:sz w:val="18"/>
                <w:szCs w:val="18"/>
              </w:rPr>
              <w:t>813,00</w:t>
            </w:r>
          </w:p>
        </w:tc>
        <w:tc>
          <w:tcPr>
            <w:tcW w:w="1134" w:type="dxa"/>
          </w:tcPr>
          <w:p w:rsidR="00512E41" w:rsidRPr="00213AA3" w:rsidRDefault="00512E41" w:rsidP="00512E41">
            <w:pPr>
              <w:jc w:val="center"/>
              <w:rPr>
                <w:noProof/>
                <w:sz w:val="18"/>
                <w:szCs w:val="18"/>
              </w:rPr>
            </w:pPr>
            <w:r w:rsidRPr="00213AA3">
              <w:rPr>
                <w:noProof/>
                <w:sz w:val="18"/>
                <w:szCs w:val="18"/>
              </w:rPr>
              <w:t>107</w:t>
            </w:r>
            <w:r w:rsidR="00960A86" w:rsidRPr="00213AA3">
              <w:rPr>
                <w:noProof/>
                <w:sz w:val="18"/>
                <w:szCs w:val="18"/>
              </w:rPr>
              <w:t xml:space="preserve"> </w:t>
            </w:r>
            <w:r w:rsidRPr="00213AA3">
              <w:rPr>
                <w:noProof/>
                <w:sz w:val="18"/>
                <w:szCs w:val="18"/>
              </w:rPr>
              <w:t>626,00</w:t>
            </w:r>
          </w:p>
        </w:tc>
      </w:tr>
      <w:tr w:rsidR="00512E41" w:rsidRPr="00213AA3" w:rsidTr="00213AA3">
        <w:tc>
          <w:tcPr>
            <w:tcW w:w="425" w:type="dxa"/>
          </w:tcPr>
          <w:p w:rsidR="00512E41" w:rsidRPr="00512E41" w:rsidRDefault="00512E41" w:rsidP="00512E41">
            <w:r w:rsidRPr="00512E41">
              <w:lastRenderedPageBreak/>
              <w:t>3</w:t>
            </w:r>
          </w:p>
        </w:tc>
        <w:tc>
          <w:tcPr>
            <w:tcW w:w="1276" w:type="dxa"/>
          </w:tcPr>
          <w:p w:rsidR="00512E41" w:rsidRPr="00213AA3" w:rsidRDefault="00213AA3" w:rsidP="00512E41">
            <w:pPr>
              <w:rPr>
                <w:sz w:val="18"/>
                <w:szCs w:val="18"/>
              </w:rPr>
            </w:pPr>
            <w:r w:rsidRPr="00213AA3">
              <w:rPr>
                <w:sz w:val="18"/>
                <w:szCs w:val="18"/>
              </w:rPr>
              <w:t>28.11.23.190</w:t>
            </w:r>
          </w:p>
        </w:tc>
        <w:tc>
          <w:tcPr>
            <w:tcW w:w="1134" w:type="dxa"/>
          </w:tcPr>
          <w:p w:rsidR="00512E41" w:rsidRPr="00213AA3" w:rsidRDefault="00512E41" w:rsidP="00512E41">
            <w:pPr>
              <w:rPr>
                <w:sz w:val="18"/>
                <w:szCs w:val="18"/>
              </w:rPr>
            </w:pPr>
            <w:r w:rsidRPr="00213AA3">
              <w:rPr>
                <w:sz w:val="18"/>
                <w:szCs w:val="18"/>
              </w:rPr>
              <w:t xml:space="preserve">Горка </w:t>
            </w:r>
          </w:p>
        </w:tc>
        <w:tc>
          <w:tcPr>
            <w:tcW w:w="2552" w:type="dxa"/>
          </w:tcPr>
          <w:p w:rsidR="00512E41" w:rsidRPr="00213AA3" w:rsidRDefault="00C615D7" w:rsidP="00512E41">
            <w:pPr>
              <w:jc w:val="both"/>
              <w:rPr>
                <w:sz w:val="18"/>
                <w:szCs w:val="18"/>
              </w:rPr>
            </w:pPr>
            <w:r w:rsidRPr="00213AA3">
              <w:rPr>
                <w:sz w:val="18"/>
                <w:szCs w:val="18"/>
              </w:rPr>
              <w:t>Площадь</w:t>
            </w:r>
            <w:r w:rsidR="00512E41" w:rsidRPr="00213AA3">
              <w:rPr>
                <w:sz w:val="18"/>
                <w:szCs w:val="18"/>
              </w:rPr>
              <w:t xml:space="preserve"> установки: не более 4 кв.м.</w:t>
            </w:r>
          </w:p>
          <w:p w:rsidR="00512E41" w:rsidRPr="00213AA3" w:rsidRDefault="00C615D7" w:rsidP="00512E41">
            <w:pPr>
              <w:jc w:val="both"/>
              <w:rPr>
                <w:sz w:val="18"/>
                <w:szCs w:val="18"/>
              </w:rPr>
            </w:pPr>
            <w:r w:rsidRPr="00213AA3">
              <w:rPr>
                <w:sz w:val="18"/>
                <w:szCs w:val="18"/>
              </w:rPr>
              <w:t xml:space="preserve"> Размер: длина не более </w:t>
            </w:r>
            <w:r w:rsidR="00512E41" w:rsidRPr="00213AA3">
              <w:rPr>
                <w:sz w:val="18"/>
                <w:szCs w:val="18"/>
              </w:rPr>
              <w:t>2500</w:t>
            </w:r>
            <w:r w:rsidRPr="00213AA3">
              <w:rPr>
                <w:sz w:val="18"/>
                <w:szCs w:val="18"/>
              </w:rPr>
              <w:t xml:space="preserve"> см., ширина не более </w:t>
            </w:r>
            <w:r w:rsidR="00512E41" w:rsidRPr="00213AA3">
              <w:rPr>
                <w:sz w:val="18"/>
                <w:szCs w:val="18"/>
              </w:rPr>
              <w:t xml:space="preserve"> 700</w:t>
            </w:r>
            <w:r w:rsidRPr="00213AA3">
              <w:rPr>
                <w:sz w:val="18"/>
                <w:szCs w:val="18"/>
              </w:rPr>
              <w:t xml:space="preserve"> с., высота не более </w:t>
            </w:r>
            <w:r w:rsidR="00512E41" w:rsidRPr="00213AA3">
              <w:rPr>
                <w:sz w:val="18"/>
                <w:szCs w:val="18"/>
              </w:rPr>
              <w:t xml:space="preserve"> 1000</w:t>
            </w:r>
            <w:r w:rsidRPr="00213AA3">
              <w:rPr>
                <w:sz w:val="18"/>
                <w:szCs w:val="18"/>
              </w:rPr>
              <w:t xml:space="preserve"> см.</w:t>
            </w:r>
            <w:r w:rsidR="00960A86" w:rsidRPr="00213AA3">
              <w:rPr>
                <w:sz w:val="18"/>
                <w:szCs w:val="18"/>
              </w:rPr>
              <w:t xml:space="preserve"> Горка имеет  скат не более 80 см.</w:t>
            </w:r>
          </w:p>
          <w:p w:rsidR="00512E41" w:rsidRPr="00213AA3" w:rsidRDefault="00512E41" w:rsidP="00512E41">
            <w:pPr>
              <w:jc w:val="both"/>
              <w:rPr>
                <w:sz w:val="18"/>
                <w:szCs w:val="18"/>
              </w:rPr>
            </w:pPr>
            <w:r w:rsidRPr="00213AA3">
              <w:rPr>
                <w:sz w:val="18"/>
                <w:szCs w:val="18"/>
              </w:rPr>
              <w:t>Сварная конструкция по ГОСТ 14771-76.</w:t>
            </w:r>
          </w:p>
          <w:p w:rsidR="00512E41" w:rsidRPr="00213AA3" w:rsidRDefault="00512E41" w:rsidP="00512E41">
            <w:pPr>
              <w:jc w:val="both"/>
              <w:rPr>
                <w:sz w:val="18"/>
                <w:szCs w:val="18"/>
              </w:rPr>
            </w:pPr>
            <w:r w:rsidRPr="00213AA3">
              <w:rPr>
                <w:sz w:val="18"/>
                <w:szCs w:val="18"/>
              </w:rPr>
              <w:t>Материал: сталь/фанера/брус хвойных пород.</w:t>
            </w:r>
            <w:r w:rsidR="00960A86" w:rsidRPr="00213AA3">
              <w:rPr>
                <w:sz w:val="18"/>
                <w:szCs w:val="18"/>
              </w:rPr>
              <w:t xml:space="preserve"> </w:t>
            </w:r>
            <w:proofErr w:type="gramStart"/>
            <w:r w:rsidR="00960A86" w:rsidRPr="00213AA3">
              <w:rPr>
                <w:sz w:val="18"/>
                <w:szCs w:val="18"/>
              </w:rPr>
              <w:t>Окрашена</w:t>
            </w:r>
            <w:proofErr w:type="gramEnd"/>
            <w:r w:rsidR="00960A86" w:rsidRPr="00213AA3">
              <w:rPr>
                <w:sz w:val="18"/>
                <w:szCs w:val="18"/>
              </w:rPr>
              <w:t xml:space="preserve"> в яркие цвета.</w:t>
            </w:r>
          </w:p>
          <w:p w:rsidR="00512E41" w:rsidRPr="00213AA3" w:rsidRDefault="00512E41" w:rsidP="00512E41">
            <w:pPr>
              <w:jc w:val="both"/>
              <w:rPr>
                <w:sz w:val="18"/>
                <w:szCs w:val="18"/>
              </w:rPr>
            </w:pPr>
            <w:r w:rsidRPr="00213AA3">
              <w:rPr>
                <w:sz w:val="18"/>
                <w:szCs w:val="18"/>
              </w:rPr>
              <w:t xml:space="preserve">Возрастная категория: </w:t>
            </w:r>
            <w:r w:rsidR="00B473AC" w:rsidRPr="00213AA3">
              <w:rPr>
                <w:sz w:val="18"/>
                <w:szCs w:val="18"/>
              </w:rPr>
              <w:t>5-7</w:t>
            </w:r>
            <w:r w:rsidR="00960A86" w:rsidRPr="00213AA3">
              <w:rPr>
                <w:sz w:val="18"/>
                <w:szCs w:val="18"/>
              </w:rPr>
              <w:t xml:space="preserve"> л.</w:t>
            </w:r>
          </w:p>
          <w:p w:rsidR="00512E41" w:rsidRPr="00213AA3" w:rsidRDefault="00512E41" w:rsidP="00512E41">
            <w:pPr>
              <w:jc w:val="both"/>
              <w:rPr>
                <w:sz w:val="18"/>
                <w:szCs w:val="18"/>
              </w:rPr>
            </w:pPr>
            <w:r w:rsidRPr="00213AA3">
              <w:rPr>
                <w:sz w:val="18"/>
                <w:szCs w:val="18"/>
              </w:rPr>
              <w:t>Способ монтажа: с применением закладной фундаментной части</w:t>
            </w:r>
          </w:p>
        </w:tc>
        <w:tc>
          <w:tcPr>
            <w:tcW w:w="850" w:type="dxa"/>
          </w:tcPr>
          <w:p w:rsidR="00512E41" w:rsidRPr="00213AA3" w:rsidRDefault="00512E41" w:rsidP="00512E41">
            <w:pPr>
              <w:jc w:val="center"/>
              <w:rPr>
                <w:sz w:val="18"/>
                <w:szCs w:val="18"/>
              </w:rPr>
            </w:pPr>
            <w:r w:rsidRPr="00213AA3">
              <w:rPr>
                <w:sz w:val="18"/>
                <w:szCs w:val="18"/>
              </w:rPr>
              <w:t>шт.</w:t>
            </w:r>
          </w:p>
        </w:tc>
        <w:tc>
          <w:tcPr>
            <w:tcW w:w="709" w:type="dxa"/>
          </w:tcPr>
          <w:p w:rsidR="00512E41" w:rsidRPr="00213AA3" w:rsidRDefault="00512E41" w:rsidP="00512E41">
            <w:pPr>
              <w:jc w:val="center"/>
              <w:rPr>
                <w:sz w:val="18"/>
                <w:szCs w:val="18"/>
              </w:rPr>
            </w:pPr>
            <w:r w:rsidRPr="00213AA3">
              <w:rPr>
                <w:sz w:val="18"/>
                <w:szCs w:val="18"/>
              </w:rPr>
              <w:t>1</w:t>
            </w:r>
          </w:p>
        </w:tc>
        <w:tc>
          <w:tcPr>
            <w:tcW w:w="1417" w:type="dxa"/>
          </w:tcPr>
          <w:p w:rsidR="00512E41" w:rsidRPr="00213AA3" w:rsidRDefault="00512E41" w:rsidP="00512E41">
            <w:pPr>
              <w:jc w:val="center"/>
              <w:rPr>
                <w:noProof/>
                <w:sz w:val="18"/>
                <w:szCs w:val="18"/>
              </w:rPr>
            </w:pPr>
            <w:r w:rsidRPr="00213AA3">
              <w:rPr>
                <w:noProof/>
                <w:sz w:val="18"/>
                <w:szCs w:val="18"/>
              </w:rPr>
              <w:drawing>
                <wp:inline distT="0" distB="0" distL="0" distR="0">
                  <wp:extent cx="853440" cy="754380"/>
                  <wp:effectExtent l="0" t="0" r="3810" b="7620"/>
                  <wp:docPr id="3" name="Рисунок 374" descr="DI64_Malys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Рисунок 374" descr="DI64_Malysh.jpg"/>
                          <pic:cNvPicPr>
                            <a:picLocks/>
                          </pic:cNvPicPr>
                        </pic:nvPicPr>
                        <pic:blipFill>
                          <a:blip r:embed="rId7" cstate="print"/>
                          <a:stretch>
                            <a:fillRect/>
                          </a:stretch>
                        </pic:blipFill>
                        <pic:spPr>
                          <a:xfrm>
                            <a:off x="0" y="0"/>
                            <a:ext cx="853440" cy="754380"/>
                          </a:xfrm>
                          <a:prstGeom prst="rect">
                            <a:avLst/>
                          </a:prstGeom>
                        </pic:spPr>
                      </pic:pic>
                    </a:graphicData>
                  </a:graphic>
                </wp:inline>
              </w:drawing>
            </w:r>
          </w:p>
        </w:tc>
        <w:tc>
          <w:tcPr>
            <w:tcW w:w="1134" w:type="dxa"/>
          </w:tcPr>
          <w:p w:rsidR="00512E41" w:rsidRPr="00213AA3" w:rsidRDefault="00512E41" w:rsidP="00512E41">
            <w:pPr>
              <w:jc w:val="center"/>
              <w:rPr>
                <w:noProof/>
                <w:sz w:val="18"/>
                <w:szCs w:val="18"/>
              </w:rPr>
            </w:pPr>
            <w:r w:rsidRPr="00213AA3">
              <w:rPr>
                <w:noProof/>
                <w:sz w:val="18"/>
                <w:szCs w:val="18"/>
              </w:rPr>
              <w:t>36</w:t>
            </w:r>
            <w:r w:rsidR="00960A86" w:rsidRPr="00213AA3">
              <w:rPr>
                <w:noProof/>
                <w:sz w:val="18"/>
                <w:szCs w:val="18"/>
              </w:rPr>
              <w:t xml:space="preserve"> </w:t>
            </w:r>
            <w:r w:rsidRPr="00213AA3">
              <w:rPr>
                <w:noProof/>
                <w:sz w:val="18"/>
                <w:szCs w:val="18"/>
              </w:rPr>
              <w:t>245,00</w:t>
            </w:r>
          </w:p>
        </w:tc>
        <w:tc>
          <w:tcPr>
            <w:tcW w:w="1134" w:type="dxa"/>
          </w:tcPr>
          <w:p w:rsidR="00512E41" w:rsidRPr="00213AA3" w:rsidRDefault="00512E41" w:rsidP="00512E41">
            <w:pPr>
              <w:jc w:val="center"/>
              <w:rPr>
                <w:noProof/>
                <w:sz w:val="18"/>
                <w:szCs w:val="18"/>
              </w:rPr>
            </w:pPr>
            <w:r w:rsidRPr="00213AA3">
              <w:rPr>
                <w:noProof/>
                <w:sz w:val="18"/>
                <w:szCs w:val="18"/>
              </w:rPr>
              <w:t>36</w:t>
            </w:r>
            <w:r w:rsidR="00960A86" w:rsidRPr="00213AA3">
              <w:rPr>
                <w:noProof/>
                <w:sz w:val="18"/>
                <w:szCs w:val="18"/>
              </w:rPr>
              <w:t xml:space="preserve"> </w:t>
            </w:r>
            <w:r w:rsidRPr="00213AA3">
              <w:rPr>
                <w:noProof/>
                <w:sz w:val="18"/>
                <w:szCs w:val="18"/>
              </w:rPr>
              <w:t>245,00</w:t>
            </w:r>
          </w:p>
        </w:tc>
      </w:tr>
      <w:tr w:rsidR="00512E41" w:rsidRPr="00213AA3" w:rsidTr="00213AA3">
        <w:tc>
          <w:tcPr>
            <w:tcW w:w="425" w:type="dxa"/>
          </w:tcPr>
          <w:p w:rsidR="00512E41" w:rsidRPr="00512E41" w:rsidRDefault="00512E41" w:rsidP="00512E41">
            <w:r w:rsidRPr="00512E41">
              <w:t>4</w:t>
            </w:r>
          </w:p>
        </w:tc>
        <w:tc>
          <w:tcPr>
            <w:tcW w:w="1276" w:type="dxa"/>
          </w:tcPr>
          <w:p w:rsidR="00512E41" w:rsidRPr="00213AA3" w:rsidRDefault="00213AA3" w:rsidP="00512E41">
            <w:pPr>
              <w:rPr>
                <w:sz w:val="18"/>
                <w:szCs w:val="18"/>
              </w:rPr>
            </w:pPr>
            <w:r w:rsidRPr="00213AA3">
              <w:rPr>
                <w:sz w:val="18"/>
                <w:szCs w:val="18"/>
              </w:rPr>
              <w:t>36.40.14.133</w:t>
            </w:r>
          </w:p>
        </w:tc>
        <w:tc>
          <w:tcPr>
            <w:tcW w:w="1134" w:type="dxa"/>
          </w:tcPr>
          <w:p w:rsidR="00512E41" w:rsidRPr="00213AA3" w:rsidRDefault="00512E41" w:rsidP="00512E41">
            <w:pPr>
              <w:rPr>
                <w:sz w:val="18"/>
                <w:szCs w:val="18"/>
              </w:rPr>
            </w:pPr>
            <w:r w:rsidRPr="00213AA3">
              <w:rPr>
                <w:sz w:val="18"/>
                <w:szCs w:val="18"/>
              </w:rPr>
              <w:t>Стол теннисный</w:t>
            </w:r>
          </w:p>
        </w:tc>
        <w:tc>
          <w:tcPr>
            <w:tcW w:w="2552" w:type="dxa"/>
          </w:tcPr>
          <w:p w:rsidR="00512E41" w:rsidRPr="00213AA3" w:rsidRDefault="00C615D7" w:rsidP="00512E41">
            <w:pPr>
              <w:jc w:val="both"/>
              <w:rPr>
                <w:sz w:val="18"/>
                <w:szCs w:val="18"/>
              </w:rPr>
            </w:pPr>
            <w:r w:rsidRPr="00213AA3">
              <w:rPr>
                <w:sz w:val="18"/>
                <w:szCs w:val="18"/>
              </w:rPr>
              <w:t xml:space="preserve">Площадь </w:t>
            </w:r>
            <w:r w:rsidR="00512E41" w:rsidRPr="00213AA3">
              <w:rPr>
                <w:sz w:val="18"/>
                <w:szCs w:val="18"/>
              </w:rPr>
              <w:t xml:space="preserve"> установки: не более 4,5 кв.м.</w:t>
            </w:r>
          </w:p>
          <w:p w:rsidR="00512E41" w:rsidRPr="00213AA3" w:rsidRDefault="00C615D7" w:rsidP="00512E41">
            <w:pPr>
              <w:jc w:val="both"/>
              <w:rPr>
                <w:sz w:val="18"/>
                <w:szCs w:val="18"/>
              </w:rPr>
            </w:pPr>
            <w:r w:rsidRPr="00213AA3">
              <w:rPr>
                <w:sz w:val="18"/>
                <w:szCs w:val="18"/>
              </w:rPr>
              <w:t xml:space="preserve">Размер: Длина не более </w:t>
            </w:r>
            <w:r w:rsidR="00512E41" w:rsidRPr="00213AA3">
              <w:rPr>
                <w:sz w:val="18"/>
                <w:szCs w:val="18"/>
              </w:rPr>
              <w:t>2440</w:t>
            </w:r>
            <w:r w:rsidRPr="00213AA3">
              <w:rPr>
                <w:sz w:val="18"/>
                <w:szCs w:val="18"/>
              </w:rPr>
              <w:t xml:space="preserve"> см., ширина не более </w:t>
            </w:r>
            <w:r w:rsidR="00512E41" w:rsidRPr="00213AA3">
              <w:rPr>
                <w:sz w:val="18"/>
                <w:szCs w:val="18"/>
              </w:rPr>
              <w:t xml:space="preserve"> 1525</w:t>
            </w:r>
            <w:r w:rsidRPr="00213AA3">
              <w:rPr>
                <w:sz w:val="18"/>
                <w:szCs w:val="18"/>
              </w:rPr>
              <w:t xml:space="preserve"> см., высота не более </w:t>
            </w:r>
            <w:r w:rsidR="00512E41" w:rsidRPr="00213AA3">
              <w:rPr>
                <w:sz w:val="18"/>
                <w:szCs w:val="18"/>
              </w:rPr>
              <w:t xml:space="preserve"> 915</w:t>
            </w:r>
            <w:r w:rsidRPr="00213AA3">
              <w:rPr>
                <w:sz w:val="18"/>
                <w:szCs w:val="18"/>
              </w:rPr>
              <w:t xml:space="preserve"> см.</w:t>
            </w:r>
          </w:p>
          <w:p w:rsidR="00512E41" w:rsidRPr="00213AA3" w:rsidRDefault="00C615D7" w:rsidP="00512E41">
            <w:pPr>
              <w:jc w:val="both"/>
              <w:rPr>
                <w:sz w:val="18"/>
                <w:szCs w:val="18"/>
              </w:rPr>
            </w:pPr>
            <w:r w:rsidRPr="00213AA3">
              <w:rPr>
                <w:sz w:val="18"/>
                <w:szCs w:val="18"/>
              </w:rPr>
              <w:t>С</w:t>
            </w:r>
            <w:r w:rsidR="00512E41" w:rsidRPr="00213AA3">
              <w:rPr>
                <w:sz w:val="18"/>
                <w:szCs w:val="18"/>
              </w:rPr>
              <w:t>варная конструкция по ГОСТ 14771-76.</w:t>
            </w:r>
          </w:p>
          <w:p w:rsidR="00512E41" w:rsidRPr="00213AA3" w:rsidRDefault="00512E41" w:rsidP="00512E41">
            <w:pPr>
              <w:jc w:val="both"/>
              <w:rPr>
                <w:sz w:val="18"/>
                <w:szCs w:val="18"/>
              </w:rPr>
            </w:pPr>
            <w:r w:rsidRPr="00213AA3">
              <w:rPr>
                <w:sz w:val="18"/>
                <w:szCs w:val="18"/>
              </w:rPr>
              <w:t>Материал: сталь/фанера.</w:t>
            </w:r>
          </w:p>
          <w:p w:rsidR="00512E41" w:rsidRPr="00213AA3" w:rsidRDefault="00512E41" w:rsidP="00512E41">
            <w:pPr>
              <w:jc w:val="both"/>
              <w:rPr>
                <w:sz w:val="18"/>
                <w:szCs w:val="18"/>
              </w:rPr>
            </w:pPr>
            <w:r w:rsidRPr="00213AA3">
              <w:rPr>
                <w:sz w:val="18"/>
                <w:szCs w:val="18"/>
              </w:rPr>
              <w:t xml:space="preserve">Возрастная категория: </w:t>
            </w:r>
            <w:r w:rsidR="00E87388" w:rsidRPr="00213AA3">
              <w:rPr>
                <w:sz w:val="18"/>
                <w:szCs w:val="18"/>
              </w:rPr>
              <w:t>4 года</w:t>
            </w:r>
            <w:r w:rsidRPr="00213AA3">
              <w:rPr>
                <w:sz w:val="18"/>
                <w:szCs w:val="18"/>
              </w:rPr>
              <w:t xml:space="preserve"> и старше.</w:t>
            </w:r>
          </w:p>
          <w:p w:rsidR="00512E41" w:rsidRPr="00213AA3" w:rsidRDefault="00512E41" w:rsidP="00512E41">
            <w:pPr>
              <w:jc w:val="both"/>
              <w:rPr>
                <w:sz w:val="18"/>
                <w:szCs w:val="18"/>
              </w:rPr>
            </w:pPr>
            <w:r w:rsidRPr="00213AA3">
              <w:rPr>
                <w:sz w:val="18"/>
                <w:szCs w:val="18"/>
              </w:rPr>
              <w:t>Способ монтажа: с применением закладной фундаментной части</w:t>
            </w:r>
          </w:p>
        </w:tc>
        <w:tc>
          <w:tcPr>
            <w:tcW w:w="850" w:type="dxa"/>
          </w:tcPr>
          <w:p w:rsidR="00512E41" w:rsidRPr="00213AA3" w:rsidRDefault="00512E41" w:rsidP="00512E41">
            <w:pPr>
              <w:jc w:val="center"/>
              <w:rPr>
                <w:sz w:val="18"/>
                <w:szCs w:val="18"/>
              </w:rPr>
            </w:pPr>
            <w:r w:rsidRPr="00213AA3">
              <w:rPr>
                <w:sz w:val="18"/>
                <w:szCs w:val="18"/>
              </w:rPr>
              <w:t>шт.</w:t>
            </w:r>
          </w:p>
        </w:tc>
        <w:tc>
          <w:tcPr>
            <w:tcW w:w="709" w:type="dxa"/>
          </w:tcPr>
          <w:p w:rsidR="00512E41" w:rsidRPr="00213AA3" w:rsidRDefault="00512E41" w:rsidP="00512E41">
            <w:pPr>
              <w:jc w:val="center"/>
              <w:rPr>
                <w:sz w:val="18"/>
                <w:szCs w:val="18"/>
              </w:rPr>
            </w:pPr>
            <w:r w:rsidRPr="00213AA3">
              <w:rPr>
                <w:sz w:val="18"/>
                <w:szCs w:val="18"/>
              </w:rPr>
              <w:t>1</w:t>
            </w:r>
          </w:p>
        </w:tc>
        <w:tc>
          <w:tcPr>
            <w:tcW w:w="1417" w:type="dxa"/>
          </w:tcPr>
          <w:p w:rsidR="00512E41" w:rsidRPr="00213AA3" w:rsidRDefault="00512E41" w:rsidP="00512E41">
            <w:pPr>
              <w:jc w:val="center"/>
              <w:rPr>
                <w:noProof/>
                <w:sz w:val="18"/>
                <w:szCs w:val="18"/>
              </w:rPr>
            </w:pPr>
            <w:r w:rsidRPr="00213AA3">
              <w:rPr>
                <w:noProof/>
                <w:sz w:val="18"/>
                <w:szCs w:val="18"/>
              </w:rPr>
              <w:drawing>
                <wp:inline distT="0" distB="0" distL="0" distR="0">
                  <wp:extent cx="922020" cy="495300"/>
                  <wp:effectExtent l="0" t="0" r="0" b="0"/>
                  <wp:docPr id="4" name="Рисунок 413" descr="DI63_Stol tennisny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Рисунок 413" descr="DI63_Stol tennisnyj.jpg"/>
                          <pic:cNvPicPr>
                            <a:picLocks/>
                          </pic:cNvPicPr>
                        </pic:nvPicPr>
                        <pic:blipFill>
                          <a:blip r:embed="rId8" cstate="print"/>
                          <a:stretch>
                            <a:fillRect/>
                          </a:stretch>
                        </pic:blipFill>
                        <pic:spPr>
                          <a:xfrm>
                            <a:off x="0" y="0"/>
                            <a:ext cx="922020" cy="495300"/>
                          </a:xfrm>
                          <a:prstGeom prst="rect">
                            <a:avLst/>
                          </a:prstGeom>
                        </pic:spPr>
                      </pic:pic>
                    </a:graphicData>
                  </a:graphic>
                </wp:inline>
              </w:drawing>
            </w:r>
          </w:p>
        </w:tc>
        <w:tc>
          <w:tcPr>
            <w:tcW w:w="1134" w:type="dxa"/>
          </w:tcPr>
          <w:p w:rsidR="00512E41" w:rsidRPr="00213AA3" w:rsidRDefault="00874E32" w:rsidP="00512E41">
            <w:pPr>
              <w:jc w:val="center"/>
              <w:rPr>
                <w:noProof/>
                <w:sz w:val="18"/>
                <w:szCs w:val="18"/>
              </w:rPr>
            </w:pPr>
            <w:r w:rsidRPr="00213AA3">
              <w:rPr>
                <w:noProof/>
                <w:sz w:val="18"/>
                <w:szCs w:val="18"/>
              </w:rPr>
              <w:t>3</w:t>
            </w:r>
            <w:r w:rsidR="00512E41" w:rsidRPr="00213AA3">
              <w:rPr>
                <w:noProof/>
                <w:sz w:val="18"/>
                <w:szCs w:val="18"/>
              </w:rPr>
              <w:t>3</w:t>
            </w:r>
            <w:r w:rsidR="00960A86" w:rsidRPr="00213AA3">
              <w:rPr>
                <w:noProof/>
                <w:sz w:val="18"/>
                <w:szCs w:val="18"/>
              </w:rPr>
              <w:t xml:space="preserve"> </w:t>
            </w:r>
            <w:r w:rsidR="00512E41" w:rsidRPr="00213AA3">
              <w:rPr>
                <w:noProof/>
                <w:sz w:val="18"/>
                <w:szCs w:val="18"/>
              </w:rPr>
              <w:t>926,00</w:t>
            </w:r>
          </w:p>
        </w:tc>
        <w:tc>
          <w:tcPr>
            <w:tcW w:w="1134" w:type="dxa"/>
          </w:tcPr>
          <w:p w:rsidR="00512E41" w:rsidRPr="00213AA3" w:rsidRDefault="00512E41" w:rsidP="00512E41">
            <w:pPr>
              <w:jc w:val="center"/>
              <w:rPr>
                <w:noProof/>
                <w:sz w:val="18"/>
                <w:szCs w:val="18"/>
              </w:rPr>
            </w:pPr>
            <w:r w:rsidRPr="00213AA3">
              <w:rPr>
                <w:noProof/>
                <w:sz w:val="18"/>
                <w:szCs w:val="18"/>
              </w:rPr>
              <w:t>33</w:t>
            </w:r>
            <w:r w:rsidR="00960A86" w:rsidRPr="00213AA3">
              <w:rPr>
                <w:noProof/>
                <w:sz w:val="18"/>
                <w:szCs w:val="18"/>
              </w:rPr>
              <w:t xml:space="preserve"> </w:t>
            </w:r>
            <w:r w:rsidRPr="00213AA3">
              <w:rPr>
                <w:noProof/>
                <w:sz w:val="18"/>
                <w:szCs w:val="18"/>
              </w:rPr>
              <w:t>926,00</w:t>
            </w:r>
          </w:p>
        </w:tc>
      </w:tr>
      <w:tr w:rsidR="00960A86" w:rsidRPr="00512E41" w:rsidTr="00213AA3">
        <w:tc>
          <w:tcPr>
            <w:tcW w:w="9497" w:type="dxa"/>
            <w:gridSpan w:val="8"/>
          </w:tcPr>
          <w:p w:rsidR="00960A86" w:rsidRDefault="00542DBA" w:rsidP="00960A86">
            <w:pPr>
              <w:rPr>
                <w:noProof/>
              </w:rPr>
            </w:pPr>
            <w:r>
              <w:rPr>
                <w:noProof/>
              </w:rPr>
              <w:t>Начальная (максимальная) цена</w:t>
            </w:r>
          </w:p>
        </w:tc>
        <w:tc>
          <w:tcPr>
            <w:tcW w:w="1134" w:type="dxa"/>
          </w:tcPr>
          <w:p w:rsidR="00960A86" w:rsidRDefault="00960A86" w:rsidP="00512E41">
            <w:pPr>
              <w:jc w:val="center"/>
              <w:rPr>
                <w:noProof/>
              </w:rPr>
            </w:pPr>
            <w:r>
              <w:rPr>
                <w:noProof/>
              </w:rPr>
              <w:t>437 715,00</w:t>
            </w:r>
          </w:p>
        </w:tc>
      </w:tr>
    </w:tbl>
    <w:p w:rsidR="00EB50C1" w:rsidRPr="00EB50C1" w:rsidRDefault="00EB50C1" w:rsidP="00960A86">
      <w:pPr>
        <w:autoSpaceDE w:val="0"/>
        <w:autoSpaceDN w:val="0"/>
        <w:adjustRightInd w:val="0"/>
        <w:spacing w:after="0" w:line="240" w:lineRule="auto"/>
        <w:rPr>
          <w:rFonts w:ascii="Times New Roman" w:eastAsia="Times New Roman" w:hAnsi="Times New Roman" w:cs="Times New Roman"/>
          <w:lang w:eastAsia="ru-RU"/>
        </w:rPr>
      </w:pP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Место доставки товара:  </w:t>
      </w:r>
      <w:r w:rsidRPr="00EB50C1">
        <w:rPr>
          <w:rFonts w:ascii="Times New Roman" w:eastAsia="Times New Roman" w:hAnsi="Times New Roman" w:cs="Times New Roman"/>
          <w:bCs/>
          <w:lang w:eastAsia="ru-RU"/>
        </w:rPr>
        <w:t xml:space="preserve">628260, ул. </w:t>
      </w:r>
      <w:r>
        <w:rPr>
          <w:rFonts w:ascii="Times New Roman" w:eastAsia="Times New Roman" w:hAnsi="Times New Roman" w:cs="Times New Roman"/>
          <w:bCs/>
          <w:lang w:eastAsia="ru-RU"/>
        </w:rPr>
        <w:t xml:space="preserve">Таежная д.27., </w:t>
      </w:r>
      <w:r w:rsidRPr="00EB50C1">
        <w:rPr>
          <w:rFonts w:ascii="Times New Roman" w:eastAsia="Times New Roman" w:hAnsi="Times New Roman" w:cs="Times New Roman"/>
          <w:bCs/>
          <w:lang w:eastAsia="ru-RU"/>
        </w:rPr>
        <w:t xml:space="preserve"> </w:t>
      </w:r>
      <w:r w:rsidRPr="00EB50C1">
        <w:rPr>
          <w:rFonts w:ascii="Times New Roman" w:eastAsia="Times New Roman" w:hAnsi="Times New Roman" w:cs="Times New Roman"/>
          <w:lang w:eastAsia="ru-RU"/>
        </w:rPr>
        <w:t xml:space="preserve">г. Югорск, </w:t>
      </w:r>
      <w:r w:rsidRPr="00EB50C1">
        <w:rPr>
          <w:rFonts w:ascii="Times New Roman" w:eastAsia="Times New Roman" w:hAnsi="Times New Roman" w:cs="Times New Roman"/>
          <w:lang w:eastAsia="ar-SA"/>
        </w:rPr>
        <w:t>Ханты - Мансийский автономный округ</w:t>
      </w:r>
      <w:r w:rsidRPr="00EB50C1">
        <w:rPr>
          <w:rFonts w:ascii="Times New Roman" w:eastAsia="Times New Roman" w:hAnsi="Times New Roman" w:cs="Times New Roman"/>
          <w:lang w:eastAsia="ru-RU"/>
        </w:rPr>
        <w:t xml:space="preserve"> - Югра, Тюменская область, </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Сроки поставки </w:t>
      </w:r>
      <w:r>
        <w:rPr>
          <w:rFonts w:ascii="Times New Roman" w:eastAsia="Times New Roman" w:hAnsi="Times New Roman" w:cs="Times New Roman"/>
          <w:lang w:eastAsia="ru-RU"/>
        </w:rPr>
        <w:t>и монтаж оборудования</w:t>
      </w:r>
      <w:r w:rsidRPr="00EB50C1">
        <w:rPr>
          <w:rFonts w:ascii="Times New Roman" w:eastAsia="Times New Roman" w:hAnsi="Times New Roman" w:cs="Times New Roman"/>
          <w:lang w:eastAsia="ru-RU"/>
        </w:rPr>
        <w:t xml:space="preserve">: </w:t>
      </w:r>
      <w:r w:rsidRPr="00EB50C1">
        <w:rPr>
          <w:rFonts w:ascii="Times New Roman" w:eastAsia="Times New Roman" w:hAnsi="Times New Roman" w:cs="Times New Roman"/>
          <w:bCs/>
          <w:szCs w:val="24"/>
          <w:lang w:eastAsia="ru-RU"/>
        </w:rPr>
        <w:t xml:space="preserve">Поставка </w:t>
      </w:r>
      <w:r>
        <w:rPr>
          <w:rFonts w:ascii="Times New Roman" w:eastAsia="Times New Roman" w:hAnsi="Times New Roman" w:cs="Times New Roman"/>
          <w:bCs/>
          <w:szCs w:val="24"/>
          <w:lang w:eastAsia="ru-RU"/>
        </w:rPr>
        <w:t>и монтаж оборудования</w:t>
      </w:r>
      <w:r w:rsidRPr="00EB50C1">
        <w:rPr>
          <w:rFonts w:ascii="Times New Roman" w:eastAsia="Times New Roman" w:hAnsi="Times New Roman" w:cs="Times New Roman"/>
          <w:bCs/>
          <w:szCs w:val="24"/>
          <w:lang w:eastAsia="ru-RU"/>
        </w:rPr>
        <w:t xml:space="preserve"> осуществляется в течение 25 рабочих дней после подписания гражданско - правового договора</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Источник финансирования:</w:t>
      </w:r>
      <w:r w:rsidR="007B2A9A">
        <w:rPr>
          <w:rFonts w:ascii="Times New Roman" w:eastAsia="Times New Roman" w:hAnsi="Times New Roman" w:cs="Times New Roman"/>
          <w:lang w:eastAsia="ru-RU"/>
        </w:rPr>
        <w:t xml:space="preserve"> средства от </w:t>
      </w:r>
      <w:r w:rsidRPr="00EB50C1">
        <w:rPr>
          <w:rFonts w:ascii="Times New Roman" w:eastAsia="Times New Roman" w:hAnsi="Times New Roman" w:cs="Times New Roman"/>
          <w:lang w:eastAsia="ru-RU"/>
        </w:rPr>
        <w:t xml:space="preserve"> </w:t>
      </w:r>
      <w:proofErr w:type="gramStart"/>
      <w:r w:rsidR="00213AA3">
        <w:rPr>
          <w:rFonts w:ascii="Times New Roman" w:eastAsia="Times New Roman" w:hAnsi="Times New Roman" w:cs="Times New Roman"/>
          <w:lang w:eastAsia="ru-RU"/>
        </w:rPr>
        <w:t>приносящ</w:t>
      </w:r>
      <w:r w:rsidR="007B2A9A">
        <w:rPr>
          <w:rFonts w:ascii="Times New Roman" w:eastAsia="Times New Roman" w:hAnsi="Times New Roman" w:cs="Times New Roman"/>
          <w:lang w:eastAsia="ru-RU"/>
        </w:rPr>
        <w:t>ей</w:t>
      </w:r>
      <w:proofErr w:type="gramEnd"/>
      <w:r w:rsidR="00213AA3">
        <w:rPr>
          <w:rFonts w:ascii="Times New Roman" w:eastAsia="Times New Roman" w:hAnsi="Times New Roman" w:cs="Times New Roman"/>
          <w:lang w:eastAsia="ru-RU"/>
        </w:rPr>
        <w:t xml:space="preserve"> доход деятельность</w:t>
      </w:r>
      <w:r w:rsidRPr="00EB50C1">
        <w:rPr>
          <w:rFonts w:ascii="Times New Roman" w:eastAsia="Times New Roman" w:hAnsi="Times New Roman" w:cs="Times New Roman"/>
          <w:lang w:eastAsia="ru-RU"/>
        </w:rPr>
        <w:t xml:space="preserve"> на 2014 год</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iCs/>
          <w:lang w:eastAsia="ru-RU"/>
        </w:rPr>
        <w:t xml:space="preserve">Оплата поставки </w:t>
      </w:r>
      <w:r>
        <w:rPr>
          <w:rFonts w:ascii="Times New Roman" w:eastAsia="Times New Roman" w:hAnsi="Times New Roman" w:cs="Times New Roman"/>
          <w:iCs/>
          <w:lang w:eastAsia="ru-RU"/>
        </w:rPr>
        <w:t>и монтажа оборудования</w:t>
      </w:r>
      <w:r w:rsidRPr="00EB50C1">
        <w:rPr>
          <w:rFonts w:ascii="Times New Roman" w:eastAsia="Times New Roman" w:hAnsi="Times New Roman" w:cs="Times New Roman"/>
          <w:iCs/>
          <w:lang w:eastAsia="ru-RU"/>
        </w:rPr>
        <w:t>: Оплата производится из объема фактически поставленн</w:t>
      </w:r>
      <w:r>
        <w:rPr>
          <w:rFonts w:ascii="Times New Roman" w:eastAsia="Times New Roman" w:hAnsi="Times New Roman" w:cs="Times New Roman"/>
          <w:iCs/>
          <w:lang w:eastAsia="ru-RU"/>
        </w:rPr>
        <w:t>ого оборудования</w:t>
      </w:r>
      <w:r w:rsidRPr="00EB50C1">
        <w:rPr>
          <w:rFonts w:ascii="Times New Roman" w:eastAsia="Times New Roman" w:hAnsi="Times New Roman" w:cs="Times New Roman"/>
          <w:iCs/>
          <w:lang w:eastAsia="ru-RU"/>
        </w:rPr>
        <w:t xml:space="preserve">, но в размере, не превышающем контракт. </w:t>
      </w:r>
      <w:r w:rsidRPr="00EB50C1">
        <w:rPr>
          <w:rFonts w:ascii="Times New Roman" w:eastAsia="Times New Roman" w:hAnsi="Times New Roman" w:cs="Times New Roman"/>
          <w:lang w:eastAsia="ru-RU"/>
        </w:rPr>
        <w:t>Расчет за поставленный товар осуществляется в течение 25 (двадцати пяти) дней со дня подписания Заказчиком товарной накладной на данный товар и акта сдачи-приемки, а также счета-фактуры.</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Требования к участникам закупки:</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1) соответствие требованиям, </w:t>
      </w:r>
      <w:r w:rsidRPr="00EB50C1">
        <w:rPr>
          <w:rFonts w:ascii="Times New Roman" w:eastAsia="Times New Roman" w:hAnsi="Times New Roman" w:cs="Times New Roman"/>
          <w:bCs/>
          <w:lang w:eastAsia="ru-RU"/>
        </w:rPr>
        <w:t>установленным</w:t>
      </w:r>
      <w:r w:rsidRPr="00EB50C1">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B50C1">
        <w:rPr>
          <w:rFonts w:ascii="Times New Roman" w:eastAsia="Times New Roman" w:hAnsi="Times New Roman" w:cs="Times New Roman"/>
          <w:bCs/>
          <w:lang w:eastAsia="ru-RU"/>
        </w:rPr>
        <w:t>ом</w:t>
      </w:r>
      <w:r w:rsidRPr="00EB50C1">
        <w:rPr>
          <w:rFonts w:ascii="Times New Roman" w:eastAsia="Times New Roman" w:hAnsi="Times New Roman" w:cs="Times New Roman"/>
          <w:lang w:eastAsia="ru-RU"/>
        </w:rPr>
        <w:t xml:space="preserve"> закупки;</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2) </w:t>
      </w:r>
      <w:proofErr w:type="spellStart"/>
      <w:r w:rsidRPr="00EB50C1">
        <w:rPr>
          <w:rFonts w:ascii="Times New Roman" w:eastAsia="Times New Roman" w:hAnsi="Times New Roman" w:cs="Times New Roman"/>
          <w:lang w:eastAsia="ru-RU"/>
        </w:rPr>
        <w:t>непроведение</w:t>
      </w:r>
      <w:proofErr w:type="spellEnd"/>
      <w:r w:rsidRPr="00EB50C1">
        <w:rPr>
          <w:rFonts w:ascii="Times New Roman" w:eastAsia="Times New Roman" w:hAnsi="Times New Roman" w:cs="Times New Roman"/>
          <w:lang w:eastAsia="ru-RU"/>
        </w:rPr>
        <w:t xml:space="preserve"> ликвидации участника </w:t>
      </w:r>
      <w:r w:rsidRPr="00EB50C1">
        <w:rPr>
          <w:rFonts w:ascii="Times New Roman" w:eastAsia="Times New Roman" w:hAnsi="Times New Roman" w:cs="Times New Roman"/>
          <w:bCs/>
          <w:lang w:eastAsia="ru-RU"/>
        </w:rPr>
        <w:t>закупки -</w:t>
      </w:r>
      <w:r w:rsidRPr="00EB50C1">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EB50C1">
        <w:rPr>
          <w:rFonts w:ascii="Times New Roman" w:eastAsia="Times New Roman" w:hAnsi="Times New Roman" w:cs="Times New Roman"/>
          <w:bCs/>
          <w:lang w:eastAsia="ru-RU"/>
        </w:rPr>
        <w:t>закупки</w:t>
      </w:r>
      <w:r w:rsidRPr="00EB50C1">
        <w:rPr>
          <w:rFonts w:ascii="Times New Roman" w:eastAsia="Times New Roman" w:hAnsi="Times New Roman" w:cs="Times New Roman"/>
          <w:lang w:eastAsia="ru-RU"/>
        </w:rPr>
        <w:t xml:space="preserve"> - юридического лица, индивидуального предпринимателя </w:t>
      </w:r>
      <w:r w:rsidRPr="00EB50C1">
        <w:rPr>
          <w:rFonts w:ascii="Times New Roman" w:eastAsia="Times New Roman" w:hAnsi="Times New Roman" w:cs="Times New Roman"/>
          <w:bCs/>
          <w:lang w:eastAsia="ru-RU"/>
        </w:rPr>
        <w:t>несостоятельным (</w:t>
      </w:r>
      <w:r w:rsidRPr="00EB50C1">
        <w:rPr>
          <w:rFonts w:ascii="Times New Roman" w:eastAsia="Times New Roman" w:hAnsi="Times New Roman" w:cs="Times New Roman"/>
          <w:lang w:eastAsia="ru-RU"/>
        </w:rPr>
        <w:t>банкротом</w:t>
      </w:r>
      <w:r w:rsidRPr="00EB50C1">
        <w:rPr>
          <w:rFonts w:ascii="Times New Roman" w:eastAsia="Times New Roman" w:hAnsi="Times New Roman" w:cs="Times New Roman"/>
          <w:bCs/>
          <w:lang w:eastAsia="ru-RU"/>
        </w:rPr>
        <w:t>)</w:t>
      </w:r>
      <w:r w:rsidRPr="00EB50C1">
        <w:rPr>
          <w:rFonts w:ascii="Times New Roman" w:eastAsia="Times New Roman" w:hAnsi="Times New Roman" w:cs="Times New Roman"/>
          <w:lang w:eastAsia="ru-RU"/>
        </w:rPr>
        <w:t xml:space="preserve"> и об открытии конкурсного производства;</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3) </w:t>
      </w:r>
      <w:proofErr w:type="spellStart"/>
      <w:r w:rsidRPr="00EB50C1">
        <w:rPr>
          <w:rFonts w:ascii="Times New Roman" w:eastAsia="Times New Roman" w:hAnsi="Times New Roman" w:cs="Times New Roman"/>
          <w:lang w:eastAsia="ru-RU"/>
        </w:rPr>
        <w:t>неприостановление</w:t>
      </w:r>
      <w:proofErr w:type="spellEnd"/>
      <w:r w:rsidRPr="00EB50C1">
        <w:rPr>
          <w:rFonts w:ascii="Times New Roman" w:eastAsia="Times New Roman" w:hAnsi="Times New Roman" w:cs="Times New Roman"/>
          <w:lang w:eastAsia="ru-RU"/>
        </w:rPr>
        <w:t xml:space="preserve"> деятельности участника </w:t>
      </w:r>
      <w:r w:rsidRPr="00EB50C1">
        <w:rPr>
          <w:rFonts w:ascii="Times New Roman" w:eastAsia="Times New Roman" w:hAnsi="Times New Roman" w:cs="Times New Roman"/>
          <w:bCs/>
          <w:lang w:eastAsia="ru-RU"/>
        </w:rPr>
        <w:t>закупки</w:t>
      </w:r>
      <w:r w:rsidRPr="00EB50C1">
        <w:rPr>
          <w:rFonts w:ascii="Times New Roman" w:eastAsia="Times New Roman" w:hAnsi="Times New Roman" w:cs="Times New Roman"/>
          <w:lang w:eastAsia="ru-RU"/>
        </w:rPr>
        <w:t xml:space="preserve"> в порядке, </w:t>
      </w:r>
      <w:r w:rsidRPr="00EB50C1">
        <w:rPr>
          <w:rFonts w:ascii="Times New Roman" w:eastAsia="Times New Roman" w:hAnsi="Times New Roman" w:cs="Times New Roman"/>
          <w:bCs/>
          <w:lang w:eastAsia="ru-RU"/>
        </w:rPr>
        <w:t>установленном</w:t>
      </w:r>
      <w:r w:rsidRPr="00EB50C1">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proofErr w:type="gramStart"/>
      <w:r w:rsidRPr="00EB50C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B50C1">
        <w:rPr>
          <w:rFonts w:ascii="Times New Roman" w:eastAsia="Times New Roman" w:hAnsi="Times New Roman" w:cs="Times New Roman"/>
          <w:lang w:eastAsia="ru-RU"/>
        </w:rPr>
        <w:t xml:space="preserve"> обязанности </w:t>
      </w:r>
      <w:proofErr w:type="gramStart"/>
      <w:r w:rsidRPr="00EB50C1">
        <w:rPr>
          <w:rFonts w:ascii="Times New Roman" w:eastAsia="Times New Roman" w:hAnsi="Times New Roman" w:cs="Times New Roman"/>
          <w:lang w:eastAsia="ru-RU"/>
        </w:rPr>
        <w:t>заявителя</w:t>
      </w:r>
      <w:proofErr w:type="gramEnd"/>
      <w:r w:rsidRPr="00EB50C1">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B50C1">
        <w:rPr>
          <w:rFonts w:ascii="Times New Roman" w:eastAsia="Times New Roman" w:hAnsi="Times New Roman" w:cs="Times New Roman"/>
          <w:lang w:eastAsia="ru-RU"/>
        </w:rPr>
        <w:t>указанных</w:t>
      </w:r>
      <w:proofErr w:type="gramEnd"/>
      <w:r w:rsidRPr="00EB50C1">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B50C1" w:rsidRPr="00EB50C1" w:rsidRDefault="00EB50C1" w:rsidP="00EB50C1">
      <w:pPr>
        <w:suppressAutoHyphens/>
        <w:spacing w:after="60" w:line="240" w:lineRule="auto"/>
        <w:ind w:left="284" w:hanging="284"/>
        <w:jc w:val="both"/>
        <w:rPr>
          <w:rFonts w:ascii="Times New Roman" w:eastAsia="Times New Roman" w:hAnsi="Times New Roman" w:cs="Times New Roman"/>
          <w:lang w:eastAsia="ru-RU"/>
        </w:rPr>
      </w:pPr>
      <w:proofErr w:type="gramStart"/>
      <w:r w:rsidRPr="00EB50C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w:t>
      </w:r>
      <w:r w:rsidRPr="00EB50C1">
        <w:rPr>
          <w:rFonts w:ascii="Times New Roman" w:eastAsia="Times New Roman" w:hAnsi="Times New Roman" w:cs="Times New Roman"/>
          <w:lang w:eastAsia="ru-RU"/>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EB50C1">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EB50C1" w:rsidRPr="00EB50C1" w:rsidRDefault="00EB50C1" w:rsidP="00EB50C1">
      <w:pPr>
        <w:suppressAutoHyphens/>
        <w:spacing w:after="6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proofErr w:type="gramStart"/>
      <w:r w:rsidRPr="00EB50C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B50C1">
        <w:rPr>
          <w:rFonts w:ascii="Times New Roman" w:eastAsia="Times New Roman" w:hAnsi="Times New Roman" w:cs="Times New Roman"/>
          <w:lang w:eastAsia="ru-RU"/>
        </w:rPr>
        <w:t xml:space="preserve"> </w:t>
      </w:r>
      <w:proofErr w:type="gramStart"/>
      <w:r w:rsidRPr="00EB50C1">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B50C1">
        <w:rPr>
          <w:rFonts w:ascii="Times New Roman" w:eastAsia="Times New Roman" w:hAnsi="Times New Roman" w:cs="Times New Roman"/>
          <w:lang w:eastAsia="ru-RU"/>
        </w:rPr>
        <w:t>неполнородными</w:t>
      </w:r>
      <w:proofErr w:type="spellEnd"/>
      <w:r w:rsidRPr="00EB50C1">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B50C1">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p w:rsidR="00EB50C1" w:rsidRPr="00EB50C1" w:rsidRDefault="00EB50C1" w:rsidP="00EB50C1">
      <w:pPr>
        <w:suppressAutoHyphens/>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B50C1" w:rsidRPr="00EB50C1" w:rsidRDefault="00EB50C1" w:rsidP="00EB50C1">
      <w:pPr>
        <w:numPr>
          <w:ilvl w:val="0"/>
          <w:numId w:val="1"/>
        </w:numPr>
        <w:tabs>
          <w:tab w:val="num" w:pos="567"/>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EB50C1" w:rsidRPr="00EB50C1" w:rsidRDefault="00EB50C1" w:rsidP="00EB50C1">
      <w:pPr>
        <w:numPr>
          <w:ilvl w:val="0"/>
          <w:numId w:val="1"/>
        </w:numPr>
        <w:tabs>
          <w:tab w:val="num" w:pos="567"/>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Участниками </w:t>
      </w:r>
      <w:r w:rsidRPr="00EB50C1">
        <w:rPr>
          <w:rFonts w:ascii="Times New Roman" w:eastAsia="Times New Roman" w:hAnsi="Times New Roman" w:cs="Times New Roman"/>
          <w:bCs/>
          <w:lang w:eastAsia="ru-RU"/>
        </w:rPr>
        <w:t>закупки</w:t>
      </w:r>
      <w:r w:rsidRPr="00EB50C1">
        <w:rPr>
          <w:rFonts w:ascii="Times New Roman" w:eastAsia="Times New Roman" w:hAnsi="Times New Roman" w:cs="Times New Roman"/>
          <w:lang w:eastAsia="ru-RU"/>
        </w:rPr>
        <w:t xml:space="preserve"> могут быть только субъекты малого предпринимательства </w:t>
      </w:r>
      <w:r w:rsidRPr="00EB50C1">
        <w:rPr>
          <w:rFonts w:ascii="Times New Roman" w:eastAsia="Times New Roman" w:hAnsi="Times New Roman" w:cs="Times New Roman"/>
          <w:bCs/>
          <w:lang w:eastAsia="ru-RU"/>
        </w:rPr>
        <w:t>и социально ориентированные некоммерческие организации</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Pr="00EB50C1">
        <w:rPr>
          <w:rFonts w:ascii="Times New Roman" w:eastAsia="Times New Roman" w:hAnsi="Times New Roman" w:cs="Times New Roman"/>
          <w:i/>
          <w:lang w:eastAsia="ru-RU"/>
        </w:rPr>
        <w:t>.</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Документация об аукционе в электронной форме размещена на официальном сайте </w:t>
      </w:r>
      <w:r w:rsidRPr="00EB50C1">
        <w:rPr>
          <w:rFonts w:ascii="Times New Roman" w:eastAsia="Times New Roman" w:hAnsi="Times New Roman" w:cs="Times New Roman"/>
          <w:lang w:eastAsia="ru-RU"/>
        </w:rPr>
        <w:noBreakHyphen/>
        <w:t xml:space="preserve"> </w:t>
      </w:r>
      <w:proofErr w:type="spellStart"/>
      <w:r w:rsidRPr="00EB50C1">
        <w:rPr>
          <w:rFonts w:ascii="Times New Roman" w:eastAsia="Times New Roman" w:hAnsi="Times New Roman" w:cs="Times New Roman"/>
          <w:lang w:eastAsia="ru-RU"/>
        </w:rPr>
        <w:t>www</w:t>
      </w:r>
      <w:proofErr w:type="spellEnd"/>
      <w:r w:rsidRPr="00EB50C1">
        <w:rPr>
          <w:rFonts w:ascii="Times New Roman" w:eastAsia="Times New Roman" w:hAnsi="Times New Roman" w:cs="Times New Roman"/>
          <w:lang w:eastAsia="ru-RU"/>
        </w:rPr>
        <w:t>.</w:t>
      </w:r>
      <w:proofErr w:type="spellStart"/>
      <w:r w:rsidRPr="00EB50C1">
        <w:rPr>
          <w:rFonts w:ascii="Times New Roman" w:eastAsia="Times New Roman" w:hAnsi="Times New Roman" w:cs="Times New Roman"/>
          <w:lang w:val="en-US" w:eastAsia="ru-RU"/>
        </w:rPr>
        <w:t>zakupki</w:t>
      </w:r>
      <w:proofErr w:type="spellEnd"/>
      <w:r w:rsidRPr="00EB50C1">
        <w:rPr>
          <w:rFonts w:ascii="Times New Roman" w:eastAsia="Times New Roman" w:hAnsi="Times New Roman" w:cs="Times New Roman"/>
          <w:lang w:eastAsia="ru-RU"/>
        </w:rPr>
        <w:t>.</w:t>
      </w:r>
      <w:proofErr w:type="spellStart"/>
      <w:r w:rsidRPr="00EB50C1">
        <w:rPr>
          <w:rFonts w:ascii="Times New Roman" w:eastAsia="Times New Roman" w:hAnsi="Times New Roman" w:cs="Times New Roman"/>
          <w:lang w:val="en-US" w:eastAsia="ru-RU"/>
        </w:rPr>
        <w:t>gov</w:t>
      </w:r>
      <w:proofErr w:type="spellEnd"/>
      <w:r w:rsidRPr="00EB50C1">
        <w:rPr>
          <w:rFonts w:ascii="Times New Roman" w:eastAsia="Times New Roman" w:hAnsi="Times New Roman" w:cs="Times New Roman"/>
          <w:lang w:eastAsia="ru-RU"/>
        </w:rPr>
        <w:t>.</w:t>
      </w:r>
      <w:proofErr w:type="spellStart"/>
      <w:r w:rsidRPr="00EB50C1">
        <w:rPr>
          <w:rFonts w:ascii="Times New Roman" w:eastAsia="Times New Roman" w:hAnsi="Times New Roman" w:cs="Times New Roman"/>
          <w:lang w:val="en-US" w:eastAsia="ru-RU"/>
        </w:rPr>
        <w:t>ru</w:t>
      </w:r>
      <w:proofErr w:type="spellEnd"/>
      <w:r w:rsidRPr="00EB50C1">
        <w:rPr>
          <w:rFonts w:ascii="Times New Roman" w:eastAsia="Times New Roman" w:hAnsi="Times New Roman" w:cs="Times New Roman"/>
          <w:lang w:eastAsia="ru-RU"/>
        </w:rPr>
        <w:t>.</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47414">
        <w:rPr>
          <w:rFonts w:ascii="Times New Roman" w:eastAsia="Times New Roman" w:hAnsi="Times New Roman" w:cs="Times New Roman"/>
          <w:lang w:eastAsia="ru-RU"/>
        </w:rPr>
        <w:t>29</w:t>
      </w:r>
      <w:r w:rsidRPr="00EB50C1">
        <w:rPr>
          <w:rFonts w:ascii="Times New Roman" w:eastAsia="Times New Roman" w:hAnsi="Times New Roman" w:cs="Times New Roman"/>
          <w:lang w:eastAsia="ru-RU"/>
        </w:rPr>
        <w:t xml:space="preserve">» </w:t>
      </w:r>
      <w:r w:rsidR="00F47414">
        <w:rPr>
          <w:rFonts w:ascii="Times New Roman" w:eastAsia="Times New Roman" w:hAnsi="Times New Roman" w:cs="Times New Roman"/>
          <w:lang w:eastAsia="ru-RU"/>
        </w:rPr>
        <w:t>октября</w:t>
      </w:r>
      <w:r w:rsidR="00F47414" w:rsidRPr="00253781">
        <w:rPr>
          <w:rFonts w:ascii="Times New Roman" w:eastAsia="Times New Roman" w:hAnsi="Times New Roman" w:cs="Times New Roman"/>
          <w:lang w:eastAsia="ru-RU"/>
        </w:rPr>
        <w:t xml:space="preserve"> </w:t>
      </w:r>
      <w:r w:rsidRPr="00EB50C1">
        <w:rPr>
          <w:rFonts w:ascii="Times New Roman" w:eastAsia="Times New Roman" w:hAnsi="Times New Roman" w:cs="Times New Roman"/>
          <w:lang w:eastAsia="ru-RU"/>
        </w:rPr>
        <w:t>2014 года.</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Дата окончания срока рассмотрения заявок на участие в аукционе в электронной форме: «</w:t>
      </w:r>
      <w:r w:rsidR="00F47414">
        <w:rPr>
          <w:rFonts w:ascii="Times New Roman" w:eastAsia="Times New Roman" w:hAnsi="Times New Roman" w:cs="Times New Roman"/>
          <w:lang w:eastAsia="ru-RU"/>
        </w:rPr>
        <w:t>29</w:t>
      </w:r>
      <w:r w:rsidRPr="00EB50C1">
        <w:rPr>
          <w:rFonts w:ascii="Times New Roman" w:eastAsia="Times New Roman" w:hAnsi="Times New Roman" w:cs="Times New Roman"/>
          <w:lang w:eastAsia="ru-RU"/>
        </w:rPr>
        <w:t xml:space="preserve"> » </w:t>
      </w:r>
      <w:r w:rsidR="00F47414">
        <w:rPr>
          <w:rFonts w:ascii="Times New Roman" w:eastAsia="Times New Roman" w:hAnsi="Times New Roman" w:cs="Times New Roman"/>
          <w:lang w:eastAsia="ru-RU"/>
        </w:rPr>
        <w:t>октября</w:t>
      </w:r>
      <w:r w:rsidR="00F47414" w:rsidRPr="00253781">
        <w:rPr>
          <w:rFonts w:ascii="Times New Roman" w:eastAsia="Times New Roman" w:hAnsi="Times New Roman" w:cs="Times New Roman"/>
          <w:lang w:eastAsia="ru-RU"/>
        </w:rPr>
        <w:t xml:space="preserve"> </w:t>
      </w:r>
      <w:r w:rsidR="00F47414">
        <w:rPr>
          <w:rFonts w:ascii="Times New Roman" w:eastAsia="Times New Roman" w:hAnsi="Times New Roman" w:cs="Times New Roman"/>
          <w:lang w:eastAsia="ru-RU"/>
        </w:rPr>
        <w:t xml:space="preserve"> </w:t>
      </w:r>
      <w:r w:rsidRPr="00EB50C1">
        <w:rPr>
          <w:rFonts w:ascii="Times New Roman" w:eastAsia="Times New Roman" w:hAnsi="Times New Roman" w:cs="Times New Roman"/>
          <w:lang w:eastAsia="ru-RU"/>
        </w:rPr>
        <w:t>2014  года.</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Дата проведения аукциона в электронной форме: «</w:t>
      </w:r>
      <w:r w:rsidR="00F47414">
        <w:rPr>
          <w:rFonts w:ascii="Times New Roman" w:eastAsia="Times New Roman" w:hAnsi="Times New Roman" w:cs="Times New Roman"/>
          <w:lang w:eastAsia="ru-RU"/>
        </w:rPr>
        <w:t>05</w:t>
      </w:r>
      <w:r w:rsidRPr="00EB50C1">
        <w:rPr>
          <w:rFonts w:ascii="Times New Roman" w:eastAsia="Times New Roman" w:hAnsi="Times New Roman" w:cs="Times New Roman"/>
          <w:lang w:eastAsia="ru-RU"/>
        </w:rPr>
        <w:t xml:space="preserve"> » </w:t>
      </w:r>
      <w:r w:rsidR="00F47414">
        <w:rPr>
          <w:rFonts w:ascii="Times New Roman" w:eastAsia="Times New Roman" w:hAnsi="Times New Roman" w:cs="Times New Roman"/>
          <w:lang w:eastAsia="ru-RU"/>
        </w:rPr>
        <w:t>ноября</w:t>
      </w:r>
      <w:r w:rsidRPr="00EB50C1">
        <w:rPr>
          <w:rFonts w:ascii="Times New Roman" w:eastAsia="Times New Roman" w:hAnsi="Times New Roman" w:cs="Times New Roman"/>
          <w:lang w:eastAsia="ru-RU"/>
        </w:rPr>
        <w:t>2014 года.</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 xml:space="preserve">Размер обеспечения заявки на участие в закупке: 1% от начальной максимальной цены контракта, что составляет </w:t>
      </w:r>
      <w:r w:rsidR="00213AA3">
        <w:rPr>
          <w:rFonts w:ascii="Times New Roman" w:eastAsia="Times New Roman" w:hAnsi="Times New Roman" w:cs="Times New Roman"/>
          <w:lang w:eastAsia="ru-RU"/>
        </w:rPr>
        <w:t>4 377</w:t>
      </w:r>
      <w:r w:rsidRPr="00EB50C1">
        <w:rPr>
          <w:rFonts w:ascii="Times New Roman" w:eastAsia="Times New Roman" w:hAnsi="Times New Roman" w:cs="Times New Roman"/>
          <w:lang w:eastAsia="ru-RU"/>
        </w:rPr>
        <w:t xml:space="preserve"> (</w:t>
      </w:r>
      <w:r w:rsidR="00213AA3">
        <w:rPr>
          <w:rFonts w:ascii="Times New Roman" w:eastAsia="Times New Roman" w:hAnsi="Times New Roman" w:cs="Times New Roman"/>
          <w:lang w:eastAsia="ru-RU"/>
        </w:rPr>
        <w:t>четыре тысячи триста семьдесят семь</w:t>
      </w:r>
      <w:r w:rsidRPr="00EB50C1">
        <w:rPr>
          <w:rFonts w:ascii="Times New Roman" w:eastAsia="Times New Roman" w:hAnsi="Times New Roman" w:cs="Times New Roman"/>
          <w:lang w:eastAsia="ru-RU"/>
        </w:rPr>
        <w:t>) рубл</w:t>
      </w:r>
      <w:r w:rsidR="00213AA3">
        <w:rPr>
          <w:rFonts w:ascii="Times New Roman" w:eastAsia="Times New Roman" w:hAnsi="Times New Roman" w:cs="Times New Roman"/>
          <w:lang w:eastAsia="ru-RU"/>
        </w:rPr>
        <w:t>ей</w:t>
      </w:r>
      <w:r w:rsidRPr="00EB50C1">
        <w:rPr>
          <w:rFonts w:ascii="Times New Roman" w:eastAsia="Times New Roman" w:hAnsi="Times New Roman" w:cs="Times New Roman"/>
          <w:lang w:eastAsia="ru-RU"/>
        </w:rPr>
        <w:t xml:space="preserve"> </w:t>
      </w:r>
      <w:r w:rsidR="00213AA3">
        <w:rPr>
          <w:rFonts w:ascii="Times New Roman" w:eastAsia="Times New Roman" w:hAnsi="Times New Roman" w:cs="Times New Roman"/>
          <w:lang w:eastAsia="ru-RU"/>
        </w:rPr>
        <w:t>15</w:t>
      </w:r>
      <w:r w:rsidRPr="00EB50C1">
        <w:rPr>
          <w:rFonts w:ascii="Times New Roman" w:eastAsia="Times New Roman" w:hAnsi="Times New Roman" w:cs="Times New Roman"/>
          <w:lang w:eastAsia="ru-RU"/>
        </w:rPr>
        <w:t xml:space="preserve"> копеек. НДС не облагается.  </w:t>
      </w:r>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B50C1" w:rsidRPr="00EB50C1" w:rsidRDefault="00EB50C1" w:rsidP="00EB50C1">
      <w:pPr>
        <w:tabs>
          <w:tab w:val="num" w:pos="540"/>
          <w:tab w:val="num" w:pos="567"/>
        </w:tabs>
        <w:spacing w:after="0" w:line="240" w:lineRule="auto"/>
        <w:ind w:left="284" w:hanging="284"/>
        <w:jc w:val="both"/>
        <w:outlineLvl w:val="2"/>
        <w:rPr>
          <w:rFonts w:ascii="Times New Roman" w:eastAsia="Times New Roman" w:hAnsi="Times New Roman" w:cs="Times New Roman"/>
          <w:lang/>
        </w:rPr>
      </w:pPr>
      <w:bookmarkStart w:id="0" w:name="_Ref166350695"/>
      <w:r w:rsidRPr="00EB50C1">
        <w:rPr>
          <w:rFonts w:ascii="Times New Roman" w:eastAsia="Times New Roman" w:hAnsi="Times New Roman" w:cs="Times New Roman"/>
          <w:lang/>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B50C1" w:rsidRPr="00EB50C1" w:rsidRDefault="00EB50C1" w:rsidP="00EB50C1">
      <w:pPr>
        <w:tabs>
          <w:tab w:val="num" w:pos="567"/>
        </w:tabs>
        <w:suppressAutoHyphens/>
        <w:autoSpaceDE w:val="0"/>
        <w:autoSpaceDN w:val="0"/>
        <w:adjustRightInd w:val="0"/>
        <w:spacing w:after="0" w:line="240" w:lineRule="auto"/>
        <w:ind w:left="284" w:hanging="284"/>
        <w:jc w:val="both"/>
        <w:outlineLvl w:val="0"/>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Срок действия банковской гарантии должен превышать срок действия контракта не менее чем на один месяц.</w:t>
      </w:r>
    </w:p>
    <w:p w:rsidR="00EB50C1" w:rsidRPr="00EB50C1" w:rsidRDefault="00EB50C1" w:rsidP="00EB50C1">
      <w:pPr>
        <w:tabs>
          <w:tab w:val="num" w:pos="567"/>
        </w:tabs>
        <w:suppressAutoHyphens/>
        <w:autoSpaceDE w:val="0"/>
        <w:autoSpaceDN w:val="0"/>
        <w:adjustRightInd w:val="0"/>
        <w:spacing w:after="0" w:line="240" w:lineRule="auto"/>
        <w:ind w:left="284" w:hanging="284"/>
        <w:jc w:val="both"/>
        <w:outlineLvl w:val="0"/>
        <w:rPr>
          <w:rFonts w:ascii="Times New Roman" w:eastAsia="Times New Roman" w:hAnsi="Times New Roman" w:cs="Times New Roman"/>
          <w:lang w:eastAsia="ru-RU"/>
        </w:rPr>
      </w:pPr>
      <w:r w:rsidRPr="00EB50C1">
        <w:rPr>
          <w:rFonts w:ascii="Times New Roman" w:eastAsia="Times New Roman" w:hAnsi="Times New Roman" w:cs="Times New Roman"/>
          <w:lang w:eastAsia="ru-RU"/>
        </w:rPr>
        <w:lastRenderedPageBreak/>
        <w:t xml:space="preserve">Размер обеспечения исполнения контракта: 5% от начальной максимальной цены контракта, что составляет </w:t>
      </w:r>
      <w:r w:rsidR="00213AA3">
        <w:rPr>
          <w:rFonts w:ascii="Times New Roman" w:eastAsia="Times New Roman" w:hAnsi="Times New Roman" w:cs="Times New Roman"/>
          <w:lang w:eastAsia="ru-RU"/>
        </w:rPr>
        <w:t>21 885</w:t>
      </w:r>
      <w:r w:rsidRPr="00EB50C1">
        <w:rPr>
          <w:rFonts w:ascii="Times New Roman" w:eastAsia="Times New Roman" w:hAnsi="Times New Roman" w:cs="Times New Roman"/>
          <w:lang w:eastAsia="ru-RU"/>
        </w:rPr>
        <w:t xml:space="preserve"> (</w:t>
      </w:r>
      <w:r w:rsidR="00213AA3">
        <w:rPr>
          <w:rFonts w:ascii="Times New Roman" w:eastAsia="Times New Roman" w:hAnsi="Times New Roman" w:cs="Times New Roman"/>
          <w:lang w:eastAsia="ru-RU"/>
        </w:rPr>
        <w:t>двадцать одна тысяча восемьсот восемьдесят пять)</w:t>
      </w:r>
      <w:r w:rsidRPr="00EB50C1">
        <w:rPr>
          <w:rFonts w:ascii="Times New Roman" w:eastAsia="Times New Roman" w:hAnsi="Times New Roman" w:cs="Times New Roman"/>
          <w:lang w:eastAsia="ru-RU"/>
        </w:rPr>
        <w:t xml:space="preserve"> рублей </w:t>
      </w:r>
      <w:r w:rsidR="00213AA3">
        <w:rPr>
          <w:rFonts w:ascii="Times New Roman" w:eastAsia="Times New Roman" w:hAnsi="Times New Roman" w:cs="Times New Roman"/>
          <w:lang w:eastAsia="ru-RU"/>
        </w:rPr>
        <w:t>75</w:t>
      </w:r>
      <w:r w:rsidRPr="00EB50C1">
        <w:rPr>
          <w:rFonts w:ascii="Times New Roman" w:eastAsia="Times New Roman" w:hAnsi="Times New Roman" w:cs="Times New Roman"/>
          <w:lang w:eastAsia="ru-RU"/>
        </w:rPr>
        <w:t xml:space="preserve"> копеек.</w:t>
      </w:r>
    </w:p>
    <w:bookmarkEnd w:id="0"/>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r w:rsidRPr="00EB50C1">
        <w:rPr>
          <w:rFonts w:ascii="Times New Roman" w:eastAsia="Times New Roman" w:hAnsi="Times New Roman" w:cs="Times New Roman"/>
          <w:lang/>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r w:rsidRPr="00EB50C1">
        <w:rPr>
          <w:rFonts w:ascii="Times New Roman" w:eastAsia="Times New Roman" w:hAnsi="Times New Roman" w:cs="Times New Roman"/>
          <w:lang/>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r w:rsidRPr="00EB50C1">
        <w:rPr>
          <w:rFonts w:ascii="Times New Roman" w:eastAsia="Times New Roman" w:hAnsi="Times New Roman" w:cs="Times New Roman"/>
          <w:lang/>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p>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bookmarkStart w:id="1" w:name="_Ref166350767"/>
      <w:bookmarkStart w:id="2" w:name="OLE_LINK21"/>
      <w:r w:rsidRPr="00EB50C1">
        <w:rPr>
          <w:rFonts w:ascii="Times New Roman" w:eastAsia="Times New Roman" w:hAnsi="Times New Roman" w:cs="Times New Roman"/>
          <w:lang/>
        </w:rPr>
        <w:t>Требования к обеспечению исполнения контракта, предоставляемому в виде денежных средств:</w:t>
      </w:r>
    </w:p>
    <w:p w:rsidR="00EB50C1" w:rsidRPr="00EB50C1" w:rsidRDefault="00EB50C1" w:rsidP="00EB50C1">
      <w:pPr>
        <w:numPr>
          <w:ilvl w:val="0"/>
          <w:numId w:val="2"/>
        </w:numPr>
        <w:tabs>
          <w:tab w:val="num" w:pos="567"/>
        </w:tabs>
        <w:spacing w:after="0" w:line="240" w:lineRule="auto"/>
        <w:ind w:left="284" w:hanging="284"/>
        <w:jc w:val="both"/>
        <w:outlineLvl w:val="3"/>
        <w:rPr>
          <w:rFonts w:ascii="Times New Roman" w:eastAsia="Times New Roman" w:hAnsi="Times New Roman" w:cs="Times New Roman"/>
          <w:bCs/>
          <w:lang/>
        </w:rPr>
      </w:pPr>
      <w:r w:rsidRPr="00EB50C1">
        <w:rPr>
          <w:rFonts w:ascii="Times New Roman" w:eastAsia="Times New Roman" w:hAnsi="Times New Roman" w:cs="Times New Roman"/>
          <w:bCs/>
          <w:lang/>
        </w:rPr>
        <w:t>денежные средства, вносимые в обеспечение исполнения контракта, должны быть перечислены по следующим реквизитам:</w:t>
      </w:r>
    </w:p>
    <w:p w:rsidR="00EB50C1" w:rsidRPr="00EB50C1" w:rsidRDefault="00EB50C1" w:rsidP="00EB50C1">
      <w:pPr>
        <w:tabs>
          <w:tab w:val="num" w:pos="900"/>
        </w:tabs>
        <w:snapToGrid w:val="0"/>
        <w:spacing w:after="0" w:line="240" w:lineRule="auto"/>
        <w:ind w:left="284" w:hanging="284"/>
        <w:rPr>
          <w:rFonts w:ascii="Times New Roman" w:eastAsia="Times New Roman" w:hAnsi="Times New Roman" w:cs="Times New Roman"/>
          <w:lang w:eastAsia="ru-RU"/>
        </w:rPr>
      </w:pPr>
      <w:proofErr w:type="spellStart"/>
      <w:r w:rsidRPr="00EB50C1">
        <w:rPr>
          <w:rFonts w:ascii="Times New Roman" w:eastAsia="Times New Roman" w:hAnsi="Times New Roman" w:cs="Times New Roman"/>
          <w:lang w:eastAsia="ru-RU"/>
        </w:rPr>
        <w:t>Депфин</w:t>
      </w:r>
      <w:proofErr w:type="spellEnd"/>
      <w:r w:rsidRPr="00EB50C1">
        <w:rPr>
          <w:rFonts w:ascii="Times New Roman" w:eastAsia="Times New Roman" w:hAnsi="Times New Roman" w:cs="Times New Roman"/>
          <w:lang w:eastAsia="ru-RU"/>
        </w:rPr>
        <w:t xml:space="preserve"> Югорска (МБОУ «Средняя общеобразовательная школа №2», л.с. 300.14.102.0) </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ОАО «Ханты-Мансийский банк» г. Ханты-Мансийск.</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Расчетный счет 40701810800063000007</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Корреспондирующий счет 30101810100000000740</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БИК 047162740</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lang w:eastAsia="ru-RU"/>
        </w:rPr>
      </w:pPr>
      <w:r w:rsidRPr="00EB50C1">
        <w:rPr>
          <w:rFonts w:ascii="Times New Roman" w:eastAsia="Times New Roman" w:hAnsi="Times New Roman" w:cs="Times New Roman"/>
          <w:lang w:eastAsia="ru-RU"/>
        </w:rPr>
        <w:t>ИНН/КПП 8622002625/862201001</w:t>
      </w:r>
    </w:p>
    <w:p w:rsidR="00EB50C1" w:rsidRPr="00EB50C1" w:rsidRDefault="00EB50C1" w:rsidP="00EB50C1">
      <w:pPr>
        <w:tabs>
          <w:tab w:val="num" w:pos="900"/>
        </w:tabs>
        <w:spacing w:after="0" w:line="240" w:lineRule="auto"/>
        <w:ind w:left="284" w:hanging="284"/>
        <w:rPr>
          <w:rFonts w:ascii="Times New Roman" w:eastAsia="Times New Roman" w:hAnsi="Times New Roman" w:cs="Times New Roman"/>
          <w:bCs/>
          <w:lang w:eastAsia="ru-RU"/>
        </w:rPr>
      </w:pPr>
      <w:r w:rsidRPr="00EB50C1">
        <w:rPr>
          <w:rFonts w:ascii="Times New Roman" w:eastAsia="Times New Roman" w:hAnsi="Times New Roman" w:cs="Times New Roman"/>
          <w:lang w:eastAsia="ru-RU"/>
        </w:rPr>
        <w:t xml:space="preserve">Назначение платежа: «Обеспечение исполнения </w:t>
      </w:r>
      <w:r w:rsidR="002025F7">
        <w:rPr>
          <w:rFonts w:ascii="Times New Roman" w:eastAsia="Times New Roman" w:hAnsi="Times New Roman" w:cs="Times New Roman"/>
          <w:lang w:eastAsia="ru-RU"/>
        </w:rPr>
        <w:t xml:space="preserve">гражданско-правового договора </w:t>
      </w:r>
      <w:r w:rsidRPr="00EB50C1">
        <w:rPr>
          <w:rFonts w:ascii="Times New Roman" w:eastAsia="Times New Roman" w:hAnsi="Times New Roman" w:cs="Times New Roman"/>
          <w:lang w:eastAsia="ru-RU"/>
        </w:rPr>
        <w:t xml:space="preserve"> по аукциону в электронной форме №_____ на поставку </w:t>
      </w:r>
      <w:r w:rsidR="00213AA3">
        <w:rPr>
          <w:rFonts w:ascii="Times New Roman" w:eastAsia="Times New Roman" w:hAnsi="Times New Roman" w:cs="Times New Roman"/>
          <w:lang w:eastAsia="ru-RU"/>
        </w:rPr>
        <w:t>и монтаж уличного игрового оборудования</w:t>
      </w:r>
      <w:r w:rsidRPr="00EB50C1">
        <w:rPr>
          <w:rFonts w:ascii="Times New Roman" w:eastAsia="Times New Roman" w:hAnsi="Times New Roman" w:cs="Times New Roman"/>
          <w:b/>
          <w:lang w:eastAsia="ru-RU"/>
        </w:rPr>
        <w:t>;</w:t>
      </w:r>
    </w:p>
    <w:bookmarkEnd w:id="1"/>
    <w:p w:rsidR="00EB50C1" w:rsidRPr="00EB50C1" w:rsidRDefault="00EB50C1" w:rsidP="00EB50C1">
      <w:pPr>
        <w:numPr>
          <w:ilvl w:val="0"/>
          <w:numId w:val="2"/>
        </w:numPr>
        <w:tabs>
          <w:tab w:val="num" w:pos="567"/>
        </w:tabs>
        <w:spacing w:after="0" w:line="240" w:lineRule="auto"/>
        <w:ind w:left="284" w:hanging="284"/>
        <w:jc w:val="both"/>
        <w:outlineLvl w:val="3"/>
        <w:rPr>
          <w:rFonts w:ascii="Times New Roman" w:eastAsia="Times New Roman" w:hAnsi="Times New Roman" w:cs="Times New Roman"/>
          <w:bCs/>
          <w:lang/>
        </w:rPr>
      </w:pPr>
      <w:r w:rsidRPr="00EB50C1">
        <w:rPr>
          <w:rFonts w:ascii="Times New Roman" w:eastAsia="Times New Roman" w:hAnsi="Times New Roman" w:cs="Times New Roman"/>
          <w:bCs/>
          <w:lang/>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B50C1" w:rsidRPr="00EB50C1" w:rsidRDefault="00EB50C1" w:rsidP="00EB50C1">
      <w:pPr>
        <w:numPr>
          <w:ilvl w:val="0"/>
          <w:numId w:val="2"/>
        </w:numPr>
        <w:tabs>
          <w:tab w:val="num" w:pos="567"/>
        </w:tabs>
        <w:spacing w:after="0" w:line="240" w:lineRule="auto"/>
        <w:ind w:left="284" w:hanging="284"/>
        <w:jc w:val="both"/>
        <w:outlineLvl w:val="3"/>
        <w:rPr>
          <w:rFonts w:ascii="Times New Roman" w:eastAsia="Times New Roman" w:hAnsi="Times New Roman" w:cs="Times New Roman"/>
          <w:bCs/>
          <w:lang/>
        </w:rPr>
      </w:pPr>
      <w:r w:rsidRPr="00EB50C1">
        <w:rPr>
          <w:rFonts w:ascii="Times New Roman" w:eastAsia="Times New Roman" w:hAnsi="Times New Roman" w:cs="Times New Roman"/>
          <w:bCs/>
          <w:lang/>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r w:rsidR="00213AA3" w:rsidRPr="00EB50C1">
        <w:rPr>
          <w:rFonts w:ascii="Times New Roman" w:eastAsia="Times New Roman" w:hAnsi="Times New Roman" w:cs="Times New Roman"/>
          <w:bCs/>
          <w:lang/>
        </w:rPr>
        <w:t>не предоставленным</w:t>
      </w:r>
      <w:r w:rsidRPr="00EB50C1">
        <w:rPr>
          <w:rFonts w:ascii="Times New Roman" w:eastAsia="Times New Roman" w:hAnsi="Times New Roman" w:cs="Times New Roman"/>
          <w:bCs/>
          <w:lang/>
        </w:rPr>
        <w:t>;</w:t>
      </w:r>
    </w:p>
    <w:p w:rsidR="00EB50C1" w:rsidRPr="00EB50C1" w:rsidRDefault="00EB50C1" w:rsidP="00EB50C1">
      <w:pPr>
        <w:numPr>
          <w:ilvl w:val="0"/>
          <w:numId w:val="2"/>
        </w:numPr>
        <w:tabs>
          <w:tab w:val="num" w:pos="567"/>
        </w:tabs>
        <w:spacing w:after="0" w:line="240" w:lineRule="auto"/>
        <w:ind w:left="284" w:hanging="284"/>
        <w:jc w:val="both"/>
        <w:outlineLvl w:val="3"/>
        <w:rPr>
          <w:rFonts w:ascii="Times New Roman" w:eastAsia="Times New Roman" w:hAnsi="Times New Roman" w:cs="Times New Roman"/>
          <w:bCs/>
          <w:lang/>
        </w:rPr>
      </w:pPr>
      <w:r w:rsidRPr="00EB50C1">
        <w:rPr>
          <w:rFonts w:ascii="Times New Roman" w:eastAsia="Times New Roman" w:hAnsi="Times New Roman" w:cs="Times New Roman"/>
          <w:bCs/>
          <w:lang/>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w:t>
      </w:r>
      <w:bookmarkStart w:id="3" w:name="_GoBack"/>
      <w:bookmarkEnd w:id="3"/>
      <w:r w:rsidRPr="00EB50C1">
        <w:rPr>
          <w:rFonts w:ascii="Times New Roman" w:eastAsia="Times New Roman" w:hAnsi="Times New Roman" w:cs="Times New Roman"/>
          <w:bCs/>
          <w:lang/>
        </w:rPr>
        <w:t>ежные средства возвращаются по реквизитам, указанным поставщиком (подрядчиком, исполнителем) в письменном требовании.</w:t>
      </w:r>
    </w:p>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r w:rsidRPr="00EB50C1">
        <w:rPr>
          <w:rFonts w:ascii="Times New Roman" w:eastAsia="Times New Roman" w:hAnsi="Times New Roman" w:cs="Times New Roman"/>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p>
    <w:p w:rsidR="00EB50C1" w:rsidRPr="00EB50C1" w:rsidRDefault="00EB50C1" w:rsidP="00EB50C1">
      <w:pPr>
        <w:tabs>
          <w:tab w:val="num" w:pos="567"/>
        </w:tabs>
        <w:spacing w:after="0" w:line="240" w:lineRule="auto"/>
        <w:ind w:left="284" w:hanging="284"/>
        <w:jc w:val="both"/>
        <w:outlineLvl w:val="2"/>
        <w:rPr>
          <w:rFonts w:ascii="Times New Roman" w:eastAsia="Times New Roman" w:hAnsi="Times New Roman" w:cs="Times New Roman"/>
          <w:lang/>
        </w:rPr>
      </w:pPr>
      <w:r w:rsidRPr="00EB50C1">
        <w:rPr>
          <w:rFonts w:ascii="Times New Roman" w:eastAsia="Times New Roman" w:hAnsi="Times New Roman" w:cs="Times New Roman"/>
          <w:lang/>
        </w:rPr>
        <w:t>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
    </w:p>
    <w:p w:rsidR="00EB50C1" w:rsidRPr="00EB50C1" w:rsidRDefault="00EB50C1" w:rsidP="00EB50C1">
      <w:pPr>
        <w:numPr>
          <w:ilvl w:val="0"/>
          <w:numId w:val="1"/>
        </w:numPr>
        <w:tabs>
          <w:tab w:val="num" w:pos="540"/>
        </w:tabs>
        <w:autoSpaceDE w:val="0"/>
        <w:autoSpaceDN w:val="0"/>
        <w:adjustRightInd w:val="0"/>
        <w:spacing w:after="0" w:line="240" w:lineRule="auto"/>
        <w:ind w:left="284" w:hanging="284"/>
        <w:jc w:val="both"/>
        <w:rPr>
          <w:rFonts w:ascii="Times New Roman" w:eastAsia="Times New Roman" w:hAnsi="Times New Roman" w:cs="Times New Roman"/>
          <w:lang w:eastAsia="ru-RU"/>
        </w:rPr>
      </w:pPr>
      <w:proofErr w:type="gramStart"/>
      <w:r w:rsidRPr="00EB50C1">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w:t>
      </w:r>
      <w:proofErr w:type="gramEnd"/>
    </w:p>
    <w:p w:rsidR="00EB50C1" w:rsidRPr="00EB50C1" w:rsidRDefault="00EB50C1" w:rsidP="00EB50C1">
      <w:pPr>
        <w:spacing w:after="0" w:line="240" w:lineRule="auto"/>
        <w:ind w:left="284" w:hanging="284"/>
        <w:rPr>
          <w:rFonts w:ascii="Times New Roman" w:eastAsia="Times New Roman" w:hAnsi="Times New Roman" w:cs="Times New Roman"/>
          <w:lang w:eastAsia="ru-RU"/>
        </w:rPr>
      </w:pPr>
    </w:p>
    <w:p w:rsidR="00EB50C1" w:rsidRPr="00EB50C1" w:rsidRDefault="00EB50C1" w:rsidP="00EB50C1">
      <w:pPr>
        <w:spacing w:after="0" w:line="240" w:lineRule="auto"/>
        <w:ind w:left="284" w:hanging="284"/>
        <w:rPr>
          <w:rFonts w:ascii="Times New Roman" w:eastAsia="Times New Roman" w:hAnsi="Times New Roman" w:cs="Times New Roman"/>
          <w:sz w:val="24"/>
          <w:szCs w:val="24"/>
          <w:lang w:eastAsia="ru-RU"/>
        </w:rPr>
      </w:pP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 xml:space="preserve">Руководитель                                     </w:t>
      </w:r>
      <w:r w:rsidRPr="00EB50C1">
        <w:rPr>
          <w:rFonts w:ascii="Times New Roman" w:eastAsia="Times New Roman" w:hAnsi="Times New Roman" w:cs="Times New Roman"/>
          <w:sz w:val="24"/>
          <w:szCs w:val="24"/>
          <w:lang w:eastAsia="ru-RU"/>
        </w:rPr>
        <w:tab/>
      </w:r>
      <w:r w:rsidRPr="00EB50C1">
        <w:rPr>
          <w:rFonts w:ascii="Times New Roman" w:eastAsia="Times New Roman" w:hAnsi="Times New Roman" w:cs="Times New Roman"/>
          <w:sz w:val="24"/>
          <w:szCs w:val="24"/>
          <w:lang w:eastAsia="ru-RU"/>
        </w:rPr>
        <w:tab/>
      </w:r>
      <w:r w:rsidRPr="00EB50C1">
        <w:rPr>
          <w:rFonts w:ascii="Times New Roman" w:eastAsia="Times New Roman" w:hAnsi="Times New Roman" w:cs="Times New Roman"/>
          <w:sz w:val="24"/>
          <w:szCs w:val="24"/>
          <w:lang w:eastAsia="ru-RU"/>
        </w:rPr>
        <w:tab/>
        <w:t xml:space="preserve">                     ______________   И.А. Ефремова </w:t>
      </w: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 xml:space="preserve">         </w:t>
      </w: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Согласовано:</w:t>
      </w: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u w:val="single"/>
          <w:lang w:eastAsia="ru-RU"/>
        </w:rPr>
      </w:pP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Заместитель начальника управления</w:t>
      </w: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экономической политики</w:t>
      </w:r>
      <w:r w:rsidRPr="00EB50C1">
        <w:rPr>
          <w:rFonts w:ascii="Times New Roman" w:eastAsia="Times New Roman" w:hAnsi="Times New Roman" w:cs="Times New Roman"/>
          <w:sz w:val="24"/>
          <w:szCs w:val="24"/>
          <w:lang w:eastAsia="ru-RU"/>
        </w:rPr>
        <w:tab/>
      </w:r>
      <w:r w:rsidRPr="00EB50C1">
        <w:rPr>
          <w:rFonts w:ascii="Times New Roman" w:eastAsia="Times New Roman" w:hAnsi="Times New Roman" w:cs="Times New Roman"/>
          <w:sz w:val="24"/>
          <w:szCs w:val="24"/>
          <w:lang w:eastAsia="ru-RU"/>
        </w:rPr>
        <w:tab/>
        <w:t xml:space="preserve">                                                      _______________   Ж.В. Резинкина </w:t>
      </w: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u w:val="single"/>
          <w:lang w:eastAsia="ru-RU"/>
        </w:rPr>
      </w:pPr>
    </w:p>
    <w:p w:rsidR="00EB50C1" w:rsidRPr="00EB50C1" w:rsidRDefault="00EB50C1" w:rsidP="00EB50C1">
      <w:pPr>
        <w:spacing w:after="0" w:line="240" w:lineRule="auto"/>
        <w:ind w:left="284" w:hanging="284"/>
        <w:jc w:val="both"/>
        <w:rPr>
          <w:rFonts w:ascii="Times New Roman" w:eastAsia="Times New Roman" w:hAnsi="Times New Roman" w:cs="Times New Roman"/>
          <w:sz w:val="24"/>
          <w:szCs w:val="24"/>
          <w:lang w:eastAsia="ru-RU"/>
        </w:rPr>
      </w:pPr>
      <w:r w:rsidRPr="00EB50C1">
        <w:rPr>
          <w:rFonts w:ascii="Times New Roman" w:eastAsia="Times New Roman" w:hAnsi="Times New Roman" w:cs="Times New Roman"/>
          <w:sz w:val="24"/>
          <w:szCs w:val="24"/>
          <w:lang w:eastAsia="ru-RU"/>
        </w:rPr>
        <w:t xml:space="preserve">Проверено: начальник </w:t>
      </w:r>
    </w:p>
    <w:p w:rsidR="00F3385F" w:rsidRDefault="00EB50C1" w:rsidP="00F42104">
      <w:pPr>
        <w:spacing w:after="0" w:line="240" w:lineRule="auto"/>
        <w:ind w:left="284" w:hanging="284"/>
        <w:jc w:val="both"/>
      </w:pPr>
      <w:r w:rsidRPr="00EB50C1">
        <w:rPr>
          <w:rFonts w:ascii="Times New Roman" w:eastAsia="Times New Roman" w:hAnsi="Times New Roman" w:cs="Times New Roman"/>
          <w:sz w:val="24"/>
          <w:szCs w:val="24"/>
          <w:lang w:eastAsia="ru-RU"/>
        </w:rPr>
        <w:t xml:space="preserve">отдела муниципальных закупок                                                           _________________  Н.Б. Захарова </w:t>
      </w:r>
    </w:p>
    <w:sectPr w:rsidR="00F3385F" w:rsidSect="00097F59">
      <w:pgSz w:w="11906" w:h="16838"/>
      <w:pgMar w:top="709" w:right="850"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07C0B7A"/>
    <w:lvl w:ilvl="0">
      <w:start w:val="1"/>
      <w:numFmt w:val="decimal"/>
      <w:lvlText w:val="%1."/>
      <w:lvlJc w:val="left"/>
      <w:pPr>
        <w:tabs>
          <w:tab w:val="num" w:pos="502"/>
        </w:tabs>
        <w:ind w:left="502" w:hanging="360"/>
      </w:pPr>
      <w:rPr>
        <w:color w:val="00000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26CE"/>
    <w:rsid w:val="00031735"/>
    <w:rsid w:val="002025F7"/>
    <w:rsid w:val="00213AA3"/>
    <w:rsid w:val="004D0B16"/>
    <w:rsid w:val="00512E41"/>
    <w:rsid w:val="00542DBA"/>
    <w:rsid w:val="006903C3"/>
    <w:rsid w:val="006C1DA4"/>
    <w:rsid w:val="006C26CE"/>
    <w:rsid w:val="007015AE"/>
    <w:rsid w:val="007A1110"/>
    <w:rsid w:val="007B2A9A"/>
    <w:rsid w:val="00874E32"/>
    <w:rsid w:val="00960A86"/>
    <w:rsid w:val="00AB25A2"/>
    <w:rsid w:val="00B473AC"/>
    <w:rsid w:val="00C615D7"/>
    <w:rsid w:val="00E072F4"/>
    <w:rsid w:val="00E87388"/>
    <w:rsid w:val="00EB50C1"/>
    <w:rsid w:val="00F3385F"/>
    <w:rsid w:val="00F42104"/>
    <w:rsid w:val="00F47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E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2E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E41"/>
    <w:rPr>
      <w:rFonts w:ascii="Tahoma" w:hAnsi="Tahoma" w:cs="Tahoma"/>
      <w:sz w:val="16"/>
      <w:szCs w:val="16"/>
    </w:rPr>
  </w:style>
  <w:style w:type="character" w:styleId="a6">
    <w:name w:val="Hyperlink"/>
    <w:basedOn w:val="a0"/>
    <w:uiPriority w:val="99"/>
    <w:semiHidden/>
    <w:unhideWhenUsed/>
    <w:rsid w:val="007015AE"/>
    <w:rPr>
      <w:strike w:val="0"/>
      <w:dstrike w:val="0"/>
      <w:color w:val="0000FF"/>
      <w:u w:val="none"/>
      <w:effect w:val="none"/>
    </w:rPr>
  </w:style>
  <w:style w:type="paragraph" w:styleId="a7">
    <w:name w:val="Normal (Web)"/>
    <w:basedOn w:val="a"/>
    <w:uiPriority w:val="99"/>
    <w:unhideWhenUsed/>
    <w:rsid w:val="00701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E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2E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E41"/>
    <w:rPr>
      <w:rFonts w:ascii="Tahoma" w:hAnsi="Tahoma" w:cs="Tahoma"/>
      <w:sz w:val="16"/>
      <w:szCs w:val="16"/>
    </w:rPr>
  </w:style>
  <w:style w:type="character" w:styleId="a6">
    <w:name w:val="Hyperlink"/>
    <w:basedOn w:val="a0"/>
    <w:uiPriority w:val="99"/>
    <w:semiHidden/>
    <w:unhideWhenUsed/>
    <w:rsid w:val="007015AE"/>
    <w:rPr>
      <w:strike w:val="0"/>
      <w:dstrike w:val="0"/>
      <w:color w:val="0000FF"/>
      <w:u w:val="none"/>
      <w:effect w:val="none"/>
    </w:rPr>
  </w:style>
  <w:style w:type="paragraph" w:styleId="a7">
    <w:name w:val="Normal (Web)"/>
    <w:basedOn w:val="a"/>
    <w:uiPriority w:val="99"/>
    <w:unhideWhenUsed/>
    <w:rsid w:val="00701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044119">
      <w:bodyDiv w:val="1"/>
      <w:marLeft w:val="0"/>
      <w:marRight w:val="0"/>
      <w:marTop w:val="0"/>
      <w:marBottom w:val="0"/>
      <w:divBdr>
        <w:top w:val="none" w:sz="0" w:space="0" w:color="auto"/>
        <w:left w:val="none" w:sz="0" w:space="0" w:color="auto"/>
        <w:bottom w:val="none" w:sz="0" w:space="0" w:color="auto"/>
        <w:right w:val="none" w:sz="0" w:space="0" w:color="auto"/>
      </w:divBdr>
      <w:divsChild>
        <w:div w:id="901330698">
          <w:marLeft w:val="0"/>
          <w:marRight w:val="0"/>
          <w:marTop w:val="0"/>
          <w:marBottom w:val="0"/>
          <w:divBdr>
            <w:top w:val="none" w:sz="0" w:space="0" w:color="auto"/>
            <w:left w:val="none" w:sz="0" w:space="0" w:color="auto"/>
            <w:bottom w:val="none" w:sz="0" w:space="0" w:color="auto"/>
            <w:right w:val="none" w:sz="0" w:space="0" w:color="auto"/>
          </w:divBdr>
          <w:divsChild>
            <w:div w:id="1562868649">
              <w:marLeft w:val="0"/>
              <w:marRight w:val="0"/>
              <w:marTop w:val="0"/>
              <w:marBottom w:val="0"/>
              <w:divBdr>
                <w:top w:val="none" w:sz="0" w:space="0" w:color="auto"/>
                <w:left w:val="none" w:sz="0" w:space="0" w:color="auto"/>
                <w:bottom w:val="none" w:sz="0" w:space="0" w:color="auto"/>
                <w:right w:val="none" w:sz="0" w:space="0" w:color="auto"/>
              </w:divBdr>
              <w:divsChild>
                <w:div w:id="1523322867">
                  <w:marLeft w:val="0"/>
                  <w:marRight w:val="0"/>
                  <w:marTop w:val="100"/>
                  <w:marBottom w:val="100"/>
                  <w:divBdr>
                    <w:top w:val="none" w:sz="0" w:space="0" w:color="auto"/>
                    <w:left w:val="none" w:sz="0" w:space="0" w:color="auto"/>
                    <w:bottom w:val="none" w:sz="0" w:space="0" w:color="auto"/>
                    <w:right w:val="none" w:sz="0" w:space="0" w:color="auto"/>
                  </w:divBdr>
                  <w:divsChild>
                    <w:div w:id="1795782593">
                      <w:marLeft w:val="0"/>
                      <w:marRight w:val="0"/>
                      <w:marTop w:val="0"/>
                      <w:marBottom w:val="0"/>
                      <w:divBdr>
                        <w:top w:val="none" w:sz="0" w:space="0" w:color="auto"/>
                        <w:left w:val="none" w:sz="0" w:space="0" w:color="auto"/>
                        <w:bottom w:val="none" w:sz="0" w:space="0" w:color="auto"/>
                        <w:right w:val="none" w:sz="0" w:space="0" w:color="auto"/>
                      </w:divBdr>
                      <w:divsChild>
                        <w:div w:id="167256136">
                          <w:marLeft w:val="0"/>
                          <w:marRight w:val="0"/>
                          <w:marTop w:val="0"/>
                          <w:marBottom w:val="0"/>
                          <w:divBdr>
                            <w:top w:val="none" w:sz="0" w:space="0" w:color="auto"/>
                            <w:left w:val="none" w:sz="0" w:space="0" w:color="auto"/>
                            <w:bottom w:val="none" w:sz="0" w:space="0" w:color="auto"/>
                            <w:right w:val="none" w:sz="0" w:space="0" w:color="auto"/>
                          </w:divBdr>
                          <w:divsChild>
                            <w:div w:id="222958533">
                              <w:marLeft w:val="0"/>
                              <w:marRight w:val="0"/>
                              <w:marTop w:val="0"/>
                              <w:marBottom w:val="0"/>
                              <w:divBdr>
                                <w:top w:val="none" w:sz="0" w:space="0" w:color="auto"/>
                                <w:left w:val="none" w:sz="0" w:space="0" w:color="auto"/>
                                <w:bottom w:val="none" w:sz="0" w:space="0" w:color="auto"/>
                                <w:right w:val="none" w:sz="0" w:space="0" w:color="auto"/>
                              </w:divBdr>
                              <w:divsChild>
                                <w:div w:id="1648515889">
                                  <w:marLeft w:val="0"/>
                                  <w:marRight w:val="0"/>
                                  <w:marTop w:val="0"/>
                                  <w:marBottom w:val="0"/>
                                  <w:divBdr>
                                    <w:top w:val="none" w:sz="0" w:space="0" w:color="auto"/>
                                    <w:left w:val="none" w:sz="0" w:space="0" w:color="auto"/>
                                    <w:bottom w:val="none" w:sz="0" w:space="0" w:color="auto"/>
                                    <w:right w:val="none" w:sz="0" w:space="0" w:color="auto"/>
                                  </w:divBdr>
                                  <w:divsChild>
                                    <w:div w:id="549925267">
                                      <w:marLeft w:val="0"/>
                                      <w:marRight w:val="0"/>
                                      <w:marTop w:val="0"/>
                                      <w:marBottom w:val="0"/>
                                      <w:divBdr>
                                        <w:top w:val="none" w:sz="0" w:space="0" w:color="auto"/>
                                        <w:left w:val="none" w:sz="0" w:space="0" w:color="auto"/>
                                        <w:bottom w:val="none" w:sz="0" w:space="0" w:color="auto"/>
                                        <w:right w:val="none" w:sz="0" w:space="0" w:color="auto"/>
                                      </w:divBdr>
                                      <w:divsChild>
                                        <w:div w:id="1502233132">
                                          <w:marLeft w:val="0"/>
                                          <w:marRight w:val="0"/>
                                          <w:marTop w:val="0"/>
                                          <w:marBottom w:val="0"/>
                                          <w:divBdr>
                                            <w:top w:val="none" w:sz="0" w:space="0" w:color="auto"/>
                                            <w:left w:val="single" w:sz="6" w:space="0" w:color="C8CBCD"/>
                                            <w:bottom w:val="none" w:sz="0" w:space="0" w:color="auto"/>
                                            <w:right w:val="single" w:sz="6" w:space="0" w:color="C8CBCD"/>
                                          </w:divBdr>
                                          <w:divsChild>
                                            <w:div w:id="444547813">
                                              <w:marLeft w:val="0"/>
                                              <w:marRight w:val="0"/>
                                              <w:marTop w:val="0"/>
                                              <w:marBottom w:val="0"/>
                                              <w:divBdr>
                                                <w:top w:val="none" w:sz="0" w:space="0" w:color="auto"/>
                                                <w:left w:val="none" w:sz="0" w:space="0" w:color="auto"/>
                                                <w:bottom w:val="none" w:sz="0" w:space="0" w:color="auto"/>
                                                <w:right w:val="none" w:sz="0" w:space="0" w:color="auto"/>
                                              </w:divBdr>
                                              <w:divsChild>
                                                <w:div w:id="518391088">
                                                  <w:marLeft w:val="0"/>
                                                  <w:marRight w:val="0"/>
                                                  <w:marTop w:val="300"/>
                                                  <w:marBottom w:val="0"/>
                                                  <w:divBdr>
                                                    <w:top w:val="none" w:sz="0" w:space="0" w:color="auto"/>
                                                    <w:left w:val="none" w:sz="0" w:space="0" w:color="auto"/>
                                                    <w:bottom w:val="none" w:sz="0" w:space="0" w:color="auto"/>
                                                    <w:right w:val="none" w:sz="0" w:space="0" w:color="auto"/>
                                                  </w:divBdr>
                                                  <w:divsChild>
                                                    <w:div w:id="5936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TotalTime>
  <Pages>4</Pages>
  <Words>2245</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Zaharova</cp:lastModifiedBy>
  <cp:revision>17</cp:revision>
  <cp:lastPrinted>2014-10-15T12:23:00Z</cp:lastPrinted>
  <dcterms:created xsi:type="dcterms:W3CDTF">2014-09-17T18:22:00Z</dcterms:created>
  <dcterms:modified xsi:type="dcterms:W3CDTF">2014-10-21T09:34:00Z</dcterms:modified>
</cp:coreProperties>
</file>