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bookmarkStart w:id="0" w:name="_Ref248562452"/>
      <w:bookmarkStart w:id="1" w:name="_Ref248728669"/>
      <w:r>
        <w:rPr>
          <w:rFonts w:ascii="PT Astra Serif" w:hAnsi="PT Astra Serif"/>
          <w:color w:val="000000"/>
        </w:rPr>
        <w:t>Приложение 1</w:t>
      </w:r>
    </w:p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извещению об осуществлении закупки</w:t>
      </w:r>
    </w:p>
    <w:p w:rsidR="005441DE" w:rsidRDefault="005441DE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2" w:name="_GoBack"/>
      <w:bookmarkEnd w:id="2"/>
    </w:p>
    <w:p w:rsidR="005441DE" w:rsidRDefault="005441DE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DA44AE" w:rsidRPr="00DA44AE" w:rsidRDefault="00DA44AE" w:rsidP="00DA44AE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rFonts w:ascii="PT Astra Serif" w:hAnsi="PT Astra Serif"/>
          <w:b/>
          <w:bCs/>
          <w:color w:val="00000A"/>
          <w:sz w:val="28"/>
          <w:szCs w:val="28"/>
        </w:rPr>
      </w:pPr>
      <w:bookmarkStart w:id="3" w:name="_Ref248562863"/>
      <w:bookmarkEnd w:id="0"/>
      <w:bookmarkEnd w:id="1"/>
      <w:r w:rsidRPr="00DA44AE">
        <w:rPr>
          <w:rFonts w:ascii="PT Astra Serif" w:hAnsi="PT Astra Serif"/>
          <w:b/>
          <w:bCs/>
          <w:color w:val="00000A"/>
          <w:sz w:val="28"/>
          <w:szCs w:val="28"/>
        </w:rPr>
        <w:t>Описание объекта закупки</w:t>
      </w:r>
    </w:p>
    <w:p w:rsidR="00DA44AE" w:rsidRPr="00DA44AE" w:rsidRDefault="00DA44AE" w:rsidP="00DA44AE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rFonts w:ascii="PT Astra Serif" w:hAnsi="PT Astra Serif"/>
          <w:b/>
          <w:bCs/>
          <w:color w:val="00000A"/>
          <w:sz w:val="28"/>
          <w:szCs w:val="28"/>
        </w:rPr>
      </w:pPr>
      <w:r w:rsidRPr="00DA44AE">
        <w:rPr>
          <w:rFonts w:ascii="PT Astra Serif" w:hAnsi="PT Astra Serif"/>
          <w:b/>
          <w:bCs/>
          <w:color w:val="00000A"/>
          <w:sz w:val="28"/>
          <w:szCs w:val="28"/>
        </w:rPr>
        <w:t>(техническое задание)</w:t>
      </w:r>
    </w:p>
    <w:p w:rsidR="001F7567" w:rsidRDefault="001F7567" w:rsidP="001F7567">
      <w:pPr>
        <w:keepNext/>
        <w:keepLines/>
        <w:widowControl w:val="0"/>
        <w:suppressLineNumbers/>
        <w:tabs>
          <w:tab w:val="left" w:pos="5584"/>
        </w:tabs>
        <w:jc w:val="center"/>
        <w:rPr>
          <w:rFonts w:ascii="PT Astra Serif" w:hAnsi="PT Astra Serif"/>
          <w:b/>
          <w:bCs/>
        </w:rPr>
      </w:pP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муниципального контракта на оказание услуг в области кадастровой деятельности</w:t>
      </w: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Муниципальный заказчик: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Департамент муниципальной собственности и градостроительства администрации города Югорска.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2. Срок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С момента подписания муниципального контракта по 01 декабря 2022 года: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подготовка межевого план</w:t>
      </w:r>
      <w:r w:rsidR="00B65A5D">
        <w:rPr>
          <w:rFonts w:ascii="PT Astra Serif" w:hAnsi="PT Astra Serif"/>
        </w:rPr>
        <w:t>а земельного участка в течение 9</w:t>
      </w:r>
      <w:r>
        <w:rPr>
          <w:rFonts w:ascii="PT Astra Serif" w:hAnsi="PT Astra Serif"/>
        </w:rPr>
        <w:t xml:space="preserve">0 дней с момента </w:t>
      </w:r>
      <w:r w:rsidR="00B65A5D">
        <w:rPr>
          <w:rFonts w:ascii="PT Astra Serif" w:hAnsi="PT Astra Serif"/>
        </w:rPr>
        <w:t>направления заявки от Заказчика.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3. Место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 Югорск, Ханты-Мансийский автономный округ-Югра, Тюменская область.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>4. Место предоставления отчетных документов: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>улица 40 лет Победы, 11, кабинет 306, город Югорск, Ханты-Мансийский автономный округ-Югра.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5. Объем и состав оказываемых услуг:</w:t>
      </w:r>
      <w:r>
        <w:rPr>
          <w:rFonts w:ascii="PT Astra Serif" w:hAnsi="PT Astra Serif"/>
        </w:rPr>
        <w:t xml:space="preserve"> </w:t>
      </w:r>
    </w:p>
    <w:p w:rsidR="003238EA" w:rsidRPr="003238EA" w:rsidRDefault="003238EA" w:rsidP="003238EA">
      <w:pPr>
        <w:contextualSpacing/>
        <w:rPr>
          <w:rFonts w:ascii="PT Astra Serif" w:hAnsi="PT Astra Serif"/>
        </w:rPr>
      </w:pPr>
      <w:r w:rsidRPr="003238EA">
        <w:rPr>
          <w:rFonts w:ascii="PT Astra Serif" w:hAnsi="PT Astra Serif"/>
        </w:rPr>
        <w:t xml:space="preserve">Оказание услуг по межеванию, для постановки на государственный кадастровый учет,  земельного   участка   общего пользования  </w:t>
      </w:r>
      <w:r>
        <w:rPr>
          <w:rFonts w:ascii="PT Astra Serif" w:hAnsi="PT Astra Serif"/>
        </w:rPr>
        <w:t>ориентировочной  площадью  10 000</w:t>
      </w:r>
      <w:r w:rsidRPr="003238EA">
        <w:rPr>
          <w:rFonts w:ascii="PT Astra Serif" w:hAnsi="PT Astra Serif"/>
        </w:rPr>
        <w:t xml:space="preserve"> кв. метров, для размещения садоводческого некоммерческого товарищества собственников недвижимости «</w:t>
      </w:r>
      <w:r>
        <w:rPr>
          <w:rFonts w:ascii="PT Astra Serif" w:hAnsi="PT Astra Serif"/>
        </w:rPr>
        <w:t>Тополя</w:t>
      </w:r>
      <w:r w:rsidRPr="003238EA">
        <w:rPr>
          <w:rFonts w:ascii="PT Astra Serif" w:hAnsi="PT Astra Serif"/>
        </w:rPr>
        <w:t xml:space="preserve">», расположенного по адресу : Ханты-Мансийский автономный округ-Югра, город Югорск, ул. Арантурская </w:t>
      </w:r>
      <w:r>
        <w:rPr>
          <w:rFonts w:ascii="PT Astra Serif" w:hAnsi="PT Astra Serif"/>
        </w:rPr>
        <w:t>50</w:t>
      </w:r>
      <w:r w:rsidRPr="003238EA">
        <w:rPr>
          <w:rFonts w:ascii="PT Astra Serif" w:hAnsi="PT Astra Serif"/>
        </w:rPr>
        <w:t xml:space="preserve">.   </w:t>
      </w:r>
    </w:p>
    <w:p w:rsidR="003238EA" w:rsidRPr="003238EA" w:rsidRDefault="003238EA" w:rsidP="003238EA">
      <w:pPr>
        <w:contextualSpacing/>
        <w:rPr>
          <w:rFonts w:ascii="PT Astra Serif" w:hAnsi="PT Astra Serif"/>
        </w:rPr>
      </w:pPr>
      <w:r w:rsidRPr="003238EA">
        <w:rPr>
          <w:rFonts w:ascii="PT Astra Serif" w:hAnsi="PT Astra Serif"/>
        </w:rPr>
        <w:t xml:space="preserve">      Услуги включают в себя:</w:t>
      </w:r>
    </w:p>
    <w:p w:rsidR="003238EA" w:rsidRPr="003238EA" w:rsidRDefault="003238EA" w:rsidP="003238EA">
      <w:pPr>
        <w:contextualSpacing/>
        <w:rPr>
          <w:rFonts w:ascii="PT Astra Serif" w:hAnsi="PT Astra Serif"/>
        </w:rPr>
      </w:pPr>
      <w:r w:rsidRPr="003238EA">
        <w:rPr>
          <w:rFonts w:ascii="PT Astra Serif" w:hAnsi="PT Astra Serif"/>
        </w:rPr>
        <w:t>1. Подготовка схемы расположения земельного участка на кадастровом плане территории (по требованию Заказчика).</w:t>
      </w:r>
    </w:p>
    <w:p w:rsidR="003238EA" w:rsidRPr="003238EA" w:rsidRDefault="003238EA" w:rsidP="003238EA">
      <w:pPr>
        <w:contextualSpacing/>
        <w:rPr>
          <w:rFonts w:ascii="PT Astra Serif" w:hAnsi="PT Astra Serif"/>
        </w:rPr>
      </w:pPr>
      <w:r w:rsidRPr="003238EA">
        <w:rPr>
          <w:rFonts w:ascii="PT Astra Serif" w:hAnsi="PT Astra Serif"/>
        </w:rPr>
        <w:t>2. Согласование местоположение границ земельного участка со смежными землепользователями и всеми заинтересованными лицами.</w:t>
      </w:r>
    </w:p>
    <w:p w:rsidR="003238EA" w:rsidRPr="003238EA" w:rsidRDefault="003238EA" w:rsidP="003238EA">
      <w:pPr>
        <w:contextualSpacing/>
        <w:rPr>
          <w:rFonts w:ascii="PT Astra Serif" w:hAnsi="PT Astra Serif"/>
        </w:rPr>
      </w:pPr>
      <w:r w:rsidRPr="003238EA">
        <w:rPr>
          <w:rFonts w:ascii="PT Astra Serif" w:hAnsi="PT Astra Serif"/>
        </w:rPr>
        <w:t>3. Подготовка пакета документов для постановки земельного участка на государственный кадастровый учет, в т.ч. межевого плана, сопровождение процедуры постановки государственного кадастрового учета.</w:t>
      </w:r>
    </w:p>
    <w:p w:rsidR="001F7567" w:rsidRDefault="001F7567" w:rsidP="001F7567">
      <w:pPr>
        <w:rPr>
          <w:rFonts w:ascii="PT Astra Serif" w:hAnsi="PT Astra Serif"/>
          <w:b/>
          <w:bCs/>
          <w:kern w:val="28"/>
        </w:rPr>
      </w:pPr>
      <w:r>
        <w:rPr>
          <w:rFonts w:ascii="PT Astra Serif" w:hAnsi="PT Astra Serif"/>
          <w:b/>
          <w:bCs/>
          <w:kern w:val="28"/>
        </w:rPr>
        <w:t>6. Основания для оказания услуг и технические требования: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snapToGrid w:val="0"/>
        </w:rPr>
        <w:t>Услуги оказываются в соответствии</w:t>
      </w:r>
      <w:r>
        <w:rPr>
          <w:rFonts w:ascii="PT Astra Serif" w:hAnsi="PT Astra Serif"/>
        </w:rPr>
        <w:t xml:space="preserve"> со следующими нормативно-правовыми актами: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Земельный кодекс Российской Федерации от 25.10.2001 № 136- ФЗ;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 Градостроительный кодекс Российской Федерации от 29.12.2004 № 190-ФЗ;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 Федеральный закон от 24.07.2007 № 221 – ФЗ «О кадастровой деятельности»;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Федеральный закон от 13.07.2015 № 218-ФЗ «О государственной регистрации недвижимости»;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Федеральный закон от 18.06.2001 № 78-ФЗ «О землеустройстве»;</w:t>
      </w:r>
    </w:p>
    <w:p w:rsidR="001F7567" w:rsidRDefault="001F7567" w:rsidP="001F7567">
      <w:pPr>
        <w:autoSpaceDE w:val="0"/>
        <w:autoSpaceDN w:val="0"/>
        <w:adjustRightInd w:val="0"/>
        <w:rPr>
          <w:rFonts w:ascii="PT Astra Serif" w:eastAsia="Calibri" w:hAnsi="PT Astra Serif"/>
          <w:lang w:eastAsia="en-US"/>
        </w:rPr>
      </w:pPr>
      <w:r>
        <w:rPr>
          <w:rFonts w:ascii="PT Astra Serif" w:hAnsi="PT Astra Serif"/>
        </w:rPr>
        <w:t>- Приказ Минэкономразвития России от 08.12.2015 № 921 «Об утверждении формы и состава сведений межевого плана, требований к его подготовке»;</w:t>
      </w:r>
    </w:p>
    <w:p w:rsidR="001F7567" w:rsidRDefault="001F7567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-</w:t>
      </w:r>
      <w:r w:rsidR="00C206BB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Письмо минэкономразвития РФ от 27.03.2009 № 4448-ИМ/Д23 «Об устранении несоответствий в местоположении границ земельных участков»;</w:t>
      </w:r>
    </w:p>
    <w:p w:rsidR="001F7567" w:rsidRDefault="001F7567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>- Свод правил СП 47.13330.2016 «Инженерные изыскания для строительства. Основные положения" Актуализированная редакция СНиП 11-02-96 (утв. приказом Министерства строительства и жилищно-коммунального хозяйства РФ от 30 декабря 2016 г. N 1033/пр);</w:t>
      </w:r>
    </w:p>
    <w:p w:rsidR="001F7567" w:rsidRDefault="001F7567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>- СП 11-104-97 «Инженерно-геодезические изыскания для строительства»</w:t>
      </w:r>
      <w:r w:rsidR="00C206BB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</w:p>
    <w:p w:rsidR="001F7567" w:rsidRDefault="00C206BB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="001F7567">
        <w:rPr>
          <w:rFonts w:ascii="PT Astra Serif" w:hAnsi="PT Astra Serif"/>
        </w:rPr>
        <w:t>Прочими нормативными правовыми актами, действующими на территории Российской Федерации.</w:t>
      </w: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7. Результат оказанных услуг: 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предоставление Заказчику документов, необходимых для постановки земельных участков  на  государственный кадастровый учет (межев</w:t>
      </w:r>
      <w:r w:rsidR="003238EA">
        <w:rPr>
          <w:rFonts w:ascii="PT Astra Serif" w:hAnsi="PT Astra Serif"/>
        </w:rPr>
        <w:t>ой</w:t>
      </w:r>
      <w:r>
        <w:rPr>
          <w:rFonts w:ascii="PT Astra Serif" w:hAnsi="PT Astra Serif"/>
        </w:rPr>
        <w:t xml:space="preserve">   план   в   форме электронн</w:t>
      </w:r>
      <w:r w:rsidR="003238EA">
        <w:rPr>
          <w:rFonts w:ascii="PT Astra Serif" w:hAnsi="PT Astra Serif"/>
        </w:rPr>
        <w:t>ого</w:t>
      </w:r>
      <w:r>
        <w:rPr>
          <w:rFonts w:ascii="PT Astra Serif" w:hAnsi="PT Astra Serif"/>
        </w:rPr>
        <w:t xml:space="preserve"> документ</w:t>
      </w:r>
      <w:r w:rsidR="003238EA">
        <w:rPr>
          <w:rFonts w:ascii="PT Astra Serif" w:hAnsi="PT Astra Serif"/>
        </w:rPr>
        <w:t>а</w:t>
      </w:r>
      <w:r>
        <w:rPr>
          <w:rFonts w:ascii="PT Astra Serif" w:hAnsi="PT Astra Serif"/>
        </w:rPr>
        <w:t>, подписанн</w:t>
      </w:r>
      <w:r w:rsidR="003238EA">
        <w:rPr>
          <w:rFonts w:ascii="PT Astra Serif" w:hAnsi="PT Astra Serif"/>
        </w:rPr>
        <w:t>ого</w:t>
      </w:r>
      <w:r>
        <w:rPr>
          <w:rFonts w:ascii="PT Astra Serif" w:hAnsi="PT Astra Serif"/>
        </w:rPr>
        <w:t xml:space="preserve"> электронной цифровой подписью изготовившего </w:t>
      </w:r>
      <w:r w:rsidR="003238EA">
        <w:rPr>
          <w:rFonts w:ascii="PT Astra Serif" w:hAnsi="PT Astra Serif"/>
        </w:rPr>
        <w:t>его</w:t>
      </w:r>
      <w:r>
        <w:rPr>
          <w:rFonts w:ascii="PT Astra Serif" w:hAnsi="PT Astra Serif"/>
        </w:rPr>
        <w:t xml:space="preserve"> кадастрового инженера (на бумажном нос</w:t>
      </w:r>
      <w:r w:rsidR="003238EA">
        <w:rPr>
          <w:rFonts w:ascii="PT Astra Serif" w:hAnsi="PT Astra Serif"/>
        </w:rPr>
        <w:t>ителе по требованию Заказчика)).</w:t>
      </w:r>
      <w:r w:rsidR="003238EA">
        <w:rPr>
          <w:rFonts w:ascii="PT Astra Serif" w:hAnsi="PT Astra Serif"/>
          <w:snapToGrid w:val="0"/>
        </w:rPr>
        <w:t xml:space="preserve"> </w:t>
      </w: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Первый заместитель главы города – </w:t>
      </w: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директор Департамента  муниципальной </w:t>
      </w:r>
    </w:p>
    <w:p w:rsidR="001F7567" w:rsidRDefault="001F7567" w:rsidP="001F7567">
      <w:pPr>
        <w:keepNext/>
        <w:keepLines/>
        <w:widowControl w:val="0"/>
        <w:suppressLineNumbers/>
        <w:rPr>
          <w:rFonts w:ascii="PT Astra Serif" w:hAnsi="PT Astra Serif"/>
        </w:rPr>
      </w:pPr>
      <w:r>
        <w:rPr>
          <w:rFonts w:ascii="PT Astra Serif" w:hAnsi="PT Astra Serif"/>
          <w:b/>
        </w:rPr>
        <w:t>собственности и градостроительства                                                                        С.Д. Голин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  <w:bookmarkStart w:id="4" w:name="_Ref353189530"/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bookmarkEnd w:id="3"/>
    <w:bookmarkEnd w:id="4"/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sectPr w:rsidR="006F1FFD" w:rsidRPr="00705EED" w:rsidSect="00705E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2C5" w:rsidRDefault="001A12C5" w:rsidP="00A762D8">
      <w:pPr>
        <w:spacing w:after="0"/>
      </w:pPr>
      <w:r>
        <w:separator/>
      </w:r>
    </w:p>
  </w:endnote>
  <w:endnote w:type="continuationSeparator" w:id="0">
    <w:p w:rsidR="001A12C5" w:rsidRDefault="001A12C5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2C5" w:rsidRDefault="001A12C5" w:rsidP="00A762D8">
      <w:pPr>
        <w:spacing w:after="0"/>
      </w:pPr>
      <w:r>
        <w:separator/>
      </w:r>
    </w:p>
  </w:footnote>
  <w:footnote w:type="continuationSeparator" w:id="0">
    <w:p w:rsidR="001A12C5" w:rsidRDefault="001A12C5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4735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A12C5"/>
    <w:rsid w:val="001B0E65"/>
    <w:rsid w:val="001D1E95"/>
    <w:rsid w:val="001E5896"/>
    <w:rsid w:val="001F7567"/>
    <w:rsid w:val="002073D8"/>
    <w:rsid w:val="0021239C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38EA"/>
    <w:rsid w:val="003239A6"/>
    <w:rsid w:val="00325BAD"/>
    <w:rsid w:val="003508A3"/>
    <w:rsid w:val="00357E3E"/>
    <w:rsid w:val="00384FF8"/>
    <w:rsid w:val="00386737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B2F59"/>
    <w:rsid w:val="004C656E"/>
    <w:rsid w:val="004E66FA"/>
    <w:rsid w:val="004E7774"/>
    <w:rsid w:val="004F15D7"/>
    <w:rsid w:val="00537535"/>
    <w:rsid w:val="005441DE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251B"/>
    <w:rsid w:val="00655879"/>
    <w:rsid w:val="00656ADD"/>
    <w:rsid w:val="00656DF3"/>
    <w:rsid w:val="00667F9D"/>
    <w:rsid w:val="006768BF"/>
    <w:rsid w:val="00684E3A"/>
    <w:rsid w:val="006860CB"/>
    <w:rsid w:val="006B5E72"/>
    <w:rsid w:val="006B7040"/>
    <w:rsid w:val="006D70EE"/>
    <w:rsid w:val="006F1FFD"/>
    <w:rsid w:val="00705EED"/>
    <w:rsid w:val="00712777"/>
    <w:rsid w:val="00733110"/>
    <w:rsid w:val="00755228"/>
    <w:rsid w:val="0076092A"/>
    <w:rsid w:val="00774D9E"/>
    <w:rsid w:val="00792CB6"/>
    <w:rsid w:val="007A0166"/>
    <w:rsid w:val="007A0B9C"/>
    <w:rsid w:val="007B513E"/>
    <w:rsid w:val="007B6B81"/>
    <w:rsid w:val="007E38C0"/>
    <w:rsid w:val="00800984"/>
    <w:rsid w:val="0082432B"/>
    <w:rsid w:val="0085406B"/>
    <w:rsid w:val="00864C63"/>
    <w:rsid w:val="008665B7"/>
    <w:rsid w:val="00872F65"/>
    <w:rsid w:val="00890665"/>
    <w:rsid w:val="008A288A"/>
    <w:rsid w:val="008A316D"/>
    <w:rsid w:val="008B2D5E"/>
    <w:rsid w:val="008B717B"/>
    <w:rsid w:val="008C118D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762D8"/>
    <w:rsid w:val="00A77A93"/>
    <w:rsid w:val="00A92B11"/>
    <w:rsid w:val="00AA369A"/>
    <w:rsid w:val="00AB64A9"/>
    <w:rsid w:val="00AE1701"/>
    <w:rsid w:val="00AE4759"/>
    <w:rsid w:val="00AF6FF9"/>
    <w:rsid w:val="00B3303A"/>
    <w:rsid w:val="00B34D50"/>
    <w:rsid w:val="00B41505"/>
    <w:rsid w:val="00B6432F"/>
    <w:rsid w:val="00B65A5D"/>
    <w:rsid w:val="00B673EF"/>
    <w:rsid w:val="00B80596"/>
    <w:rsid w:val="00B85153"/>
    <w:rsid w:val="00BA0AC3"/>
    <w:rsid w:val="00BC5728"/>
    <w:rsid w:val="00BD7C6A"/>
    <w:rsid w:val="00C109D2"/>
    <w:rsid w:val="00C10F90"/>
    <w:rsid w:val="00C15018"/>
    <w:rsid w:val="00C206BB"/>
    <w:rsid w:val="00C24E47"/>
    <w:rsid w:val="00C33F34"/>
    <w:rsid w:val="00C65B29"/>
    <w:rsid w:val="00C67157"/>
    <w:rsid w:val="00C700C2"/>
    <w:rsid w:val="00C87474"/>
    <w:rsid w:val="00C87520"/>
    <w:rsid w:val="00C97322"/>
    <w:rsid w:val="00CB7EF1"/>
    <w:rsid w:val="00CC4629"/>
    <w:rsid w:val="00D044AD"/>
    <w:rsid w:val="00D250A0"/>
    <w:rsid w:val="00D4111A"/>
    <w:rsid w:val="00D7351C"/>
    <w:rsid w:val="00DA44AE"/>
    <w:rsid w:val="00DC1E69"/>
    <w:rsid w:val="00DC3AB7"/>
    <w:rsid w:val="00DE32B3"/>
    <w:rsid w:val="00DE6E38"/>
    <w:rsid w:val="00E14240"/>
    <w:rsid w:val="00E576AE"/>
    <w:rsid w:val="00E76AD1"/>
    <w:rsid w:val="00E77868"/>
    <w:rsid w:val="00E84730"/>
    <w:rsid w:val="00E936B3"/>
    <w:rsid w:val="00EA2855"/>
    <w:rsid w:val="00EA41B6"/>
    <w:rsid w:val="00EC1C7F"/>
    <w:rsid w:val="00F32A86"/>
    <w:rsid w:val="00F3656E"/>
    <w:rsid w:val="00F57170"/>
    <w:rsid w:val="00F70DD0"/>
    <w:rsid w:val="00F86061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3959-3A02-47B5-B10E-27A0B9A6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</cp:lastModifiedBy>
  <cp:revision>55</cp:revision>
  <cp:lastPrinted>2022-04-06T04:49:00Z</cp:lastPrinted>
  <dcterms:created xsi:type="dcterms:W3CDTF">2020-01-21T11:59:00Z</dcterms:created>
  <dcterms:modified xsi:type="dcterms:W3CDTF">2022-04-06T04:50:00Z</dcterms:modified>
</cp:coreProperties>
</file>