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F6" w:rsidRPr="009917E9" w:rsidRDefault="00983CF6" w:rsidP="00983CF6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 wp14:anchorId="2C95128A" wp14:editId="6DF4F293">
            <wp:extent cx="5810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CF6" w:rsidRPr="00882421" w:rsidRDefault="00983CF6" w:rsidP="00983CF6">
      <w:pPr>
        <w:pStyle w:val="5"/>
        <w:rPr>
          <w:rFonts w:ascii="PT Astra Serif" w:hAnsi="PT Astra Serif"/>
          <w:spacing w:val="20"/>
          <w:szCs w:val="32"/>
        </w:rPr>
      </w:pPr>
      <w:r w:rsidRPr="00882421">
        <w:rPr>
          <w:rFonts w:ascii="PT Astra Serif" w:hAnsi="PT Astra Serif"/>
          <w:spacing w:val="20"/>
          <w:szCs w:val="32"/>
        </w:rPr>
        <w:t>ДУМА ГОРОДА ЮГОРСКА</w:t>
      </w:r>
    </w:p>
    <w:p w:rsidR="00983CF6" w:rsidRPr="00D40955" w:rsidRDefault="00983CF6" w:rsidP="00D40955">
      <w:pPr>
        <w:pStyle w:val="1"/>
        <w:keepLines w:val="0"/>
        <w:spacing w:before="0"/>
        <w:jc w:val="center"/>
        <w:rPr>
          <w:rFonts w:ascii="PT Astra Serif" w:eastAsia="Times New Roman" w:hAnsi="PT Astra Serif" w:cs="Times New Roman"/>
          <w:b w:val="0"/>
          <w:bCs w:val="0"/>
          <w:color w:val="auto"/>
          <w:lang w:eastAsia="ar-SA"/>
        </w:rPr>
      </w:pPr>
      <w:r w:rsidRPr="00D40955">
        <w:rPr>
          <w:rFonts w:ascii="PT Astra Serif" w:eastAsia="Times New Roman" w:hAnsi="PT Astra Serif" w:cs="Times New Roman"/>
          <w:b w:val="0"/>
          <w:bCs w:val="0"/>
          <w:color w:val="auto"/>
          <w:lang w:eastAsia="ar-SA"/>
        </w:rPr>
        <w:t>Ханты-Мансийского автономного округа – Югры</w:t>
      </w:r>
    </w:p>
    <w:p w:rsidR="00983CF6" w:rsidRPr="009917E9" w:rsidRDefault="00983CF6" w:rsidP="00983CF6">
      <w:pPr>
        <w:jc w:val="center"/>
        <w:rPr>
          <w:rFonts w:ascii="PT Astra Serif" w:hAnsi="PT Astra Serif"/>
          <w:sz w:val="28"/>
          <w:szCs w:val="28"/>
        </w:rPr>
      </w:pPr>
    </w:p>
    <w:p w:rsidR="00983CF6" w:rsidRPr="00882421" w:rsidRDefault="00983CF6" w:rsidP="00983CF6">
      <w:pPr>
        <w:pStyle w:val="6"/>
        <w:ind w:left="1152" w:hanging="1152"/>
        <w:rPr>
          <w:rFonts w:ascii="PT Astra Serif" w:hAnsi="PT Astra Serif"/>
          <w:sz w:val="36"/>
          <w:szCs w:val="36"/>
        </w:rPr>
      </w:pPr>
      <w:r w:rsidRPr="00882421">
        <w:rPr>
          <w:rFonts w:ascii="PT Astra Serif" w:hAnsi="PT Astra Serif"/>
          <w:sz w:val="36"/>
          <w:szCs w:val="36"/>
        </w:rPr>
        <w:t>РЕШЕНИЕ</w:t>
      </w:r>
    </w:p>
    <w:p w:rsidR="00983CF6" w:rsidRPr="009917E9" w:rsidRDefault="00983CF6" w:rsidP="00983CF6">
      <w:pPr>
        <w:jc w:val="center"/>
        <w:rPr>
          <w:rFonts w:ascii="PT Astra Serif" w:hAnsi="PT Astra Serif"/>
          <w:sz w:val="28"/>
          <w:szCs w:val="28"/>
        </w:rPr>
      </w:pPr>
    </w:p>
    <w:p w:rsidR="00983CF6" w:rsidRPr="009917E9" w:rsidRDefault="00983CF6" w:rsidP="00983CF6">
      <w:pPr>
        <w:jc w:val="center"/>
        <w:rPr>
          <w:rFonts w:ascii="PT Astra Serif" w:hAnsi="PT Astra Serif"/>
          <w:sz w:val="28"/>
          <w:szCs w:val="28"/>
        </w:rPr>
      </w:pPr>
    </w:p>
    <w:p w:rsidR="00983CF6" w:rsidRPr="000E3F18" w:rsidRDefault="00983CF6" w:rsidP="000E3F18">
      <w:pPr>
        <w:pStyle w:val="310"/>
        <w:rPr>
          <w:rFonts w:ascii="PT Astra Serif" w:hAnsi="PT Astra Serif"/>
          <w:b/>
          <w:sz w:val="26"/>
          <w:szCs w:val="26"/>
        </w:rPr>
      </w:pPr>
      <w:r w:rsidRPr="000E3F18">
        <w:rPr>
          <w:rFonts w:ascii="PT Astra Serif" w:hAnsi="PT Astra Serif"/>
          <w:b/>
          <w:sz w:val="26"/>
          <w:szCs w:val="26"/>
        </w:rPr>
        <w:t>от </w:t>
      </w:r>
      <w:r w:rsidR="000E3F18" w:rsidRPr="000E3F18">
        <w:rPr>
          <w:rFonts w:ascii="PT Astra Serif" w:hAnsi="PT Astra Serif"/>
          <w:b/>
          <w:sz w:val="26"/>
          <w:szCs w:val="26"/>
        </w:rPr>
        <w:t>29 июня 2021</w:t>
      </w:r>
      <w:r w:rsidRPr="000E3F18">
        <w:rPr>
          <w:rFonts w:ascii="PT Astra Serif" w:hAnsi="PT Astra Serif"/>
          <w:b/>
          <w:sz w:val="26"/>
          <w:szCs w:val="26"/>
        </w:rPr>
        <w:tab/>
      </w:r>
      <w:r w:rsidRPr="000E3F18">
        <w:rPr>
          <w:rFonts w:ascii="PT Astra Serif" w:hAnsi="PT Astra Serif"/>
          <w:b/>
          <w:sz w:val="26"/>
          <w:szCs w:val="26"/>
        </w:rPr>
        <w:tab/>
      </w:r>
      <w:r w:rsidRPr="000E3F18">
        <w:rPr>
          <w:rFonts w:ascii="PT Astra Serif" w:hAnsi="PT Astra Serif"/>
          <w:b/>
          <w:sz w:val="26"/>
          <w:szCs w:val="26"/>
        </w:rPr>
        <w:tab/>
      </w:r>
      <w:r w:rsidRPr="000E3F18">
        <w:rPr>
          <w:rFonts w:ascii="PT Astra Serif" w:hAnsi="PT Astra Serif"/>
          <w:b/>
          <w:sz w:val="26"/>
          <w:szCs w:val="26"/>
        </w:rPr>
        <w:tab/>
      </w:r>
      <w:r w:rsidRPr="000E3F18">
        <w:rPr>
          <w:rFonts w:ascii="PT Astra Serif" w:hAnsi="PT Astra Serif"/>
          <w:b/>
          <w:sz w:val="26"/>
          <w:szCs w:val="26"/>
        </w:rPr>
        <w:tab/>
      </w:r>
      <w:r w:rsidRPr="000E3F18">
        <w:rPr>
          <w:rFonts w:ascii="PT Astra Serif" w:hAnsi="PT Astra Serif"/>
          <w:b/>
          <w:sz w:val="26"/>
          <w:szCs w:val="26"/>
        </w:rPr>
        <w:tab/>
      </w:r>
      <w:r w:rsidRPr="000E3F18">
        <w:rPr>
          <w:rFonts w:ascii="PT Astra Serif" w:hAnsi="PT Astra Serif"/>
          <w:b/>
          <w:sz w:val="26"/>
          <w:szCs w:val="26"/>
        </w:rPr>
        <w:tab/>
      </w:r>
      <w:r w:rsidR="000E3F18" w:rsidRPr="000E3F18">
        <w:rPr>
          <w:rFonts w:ascii="PT Astra Serif" w:hAnsi="PT Astra Serif"/>
          <w:b/>
          <w:sz w:val="26"/>
          <w:szCs w:val="26"/>
        </w:rPr>
        <w:t xml:space="preserve">                                    </w:t>
      </w:r>
      <w:r w:rsidR="000E3F18">
        <w:rPr>
          <w:rFonts w:ascii="PT Astra Serif" w:hAnsi="PT Astra Serif"/>
          <w:b/>
          <w:sz w:val="26"/>
          <w:szCs w:val="26"/>
        </w:rPr>
        <w:t xml:space="preserve">  </w:t>
      </w:r>
      <w:r w:rsidR="000E3F18" w:rsidRPr="000E3F18">
        <w:rPr>
          <w:rFonts w:ascii="PT Astra Serif" w:hAnsi="PT Astra Serif"/>
          <w:b/>
          <w:sz w:val="26"/>
          <w:szCs w:val="26"/>
        </w:rPr>
        <w:t xml:space="preserve">   </w:t>
      </w:r>
      <w:r w:rsidRPr="000E3F18">
        <w:rPr>
          <w:rFonts w:ascii="PT Astra Serif" w:hAnsi="PT Astra Serif"/>
          <w:b/>
          <w:sz w:val="26"/>
          <w:szCs w:val="26"/>
        </w:rPr>
        <w:t>№ </w:t>
      </w:r>
      <w:r w:rsidR="000E3F18" w:rsidRPr="000E3F18">
        <w:rPr>
          <w:rFonts w:ascii="PT Astra Serif" w:hAnsi="PT Astra Serif"/>
          <w:b/>
          <w:sz w:val="26"/>
          <w:szCs w:val="26"/>
        </w:rPr>
        <w:t>47</w:t>
      </w:r>
      <w:r w:rsidRPr="000E3F18">
        <w:rPr>
          <w:rFonts w:ascii="PT Astra Serif" w:hAnsi="PT Astra Serif"/>
          <w:b/>
          <w:sz w:val="26"/>
          <w:szCs w:val="26"/>
        </w:rPr>
        <w:br/>
      </w:r>
    </w:p>
    <w:p w:rsidR="00D40955" w:rsidRPr="000E3F18" w:rsidRDefault="00983CF6" w:rsidP="000E3F18">
      <w:pPr>
        <w:ind w:right="5668"/>
        <w:jc w:val="both"/>
        <w:rPr>
          <w:rFonts w:ascii="PT Astra Serif" w:hAnsi="PT Astra Serif"/>
          <w:b/>
          <w:sz w:val="26"/>
          <w:szCs w:val="26"/>
        </w:rPr>
      </w:pPr>
      <w:r w:rsidRPr="000E3F18">
        <w:rPr>
          <w:rFonts w:ascii="PT Astra Serif" w:hAnsi="PT Astra Serif"/>
          <w:b/>
          <w:sz w:val="26"/>
          <w:szCs w:val="26"/>
        </w:rPr>
        <w:t xml:space="preserve">О </w:t>
      </w:r>
      <w:r w:rsidR="00D40955" w:rsidRPr="000E3F18">
        <w:rPr>
          <w:rFonts w:ascii="PT Astra Serif" w:hAnsi="PT Astra Serif"/>
          <w:b/>
          <w:sz w:val="26"/>
          <w:szCs w:val="26"/>
        </w:rPr>
        <w:t>результатах мониторинга</w:t>
      </w:r>
      <w:r w:rsidR="000E3F18" w:rsidRPr="000E3F18">
        <w:rPr>
          <w:rFonts w:ascii="PT Astra Serif" w:hAnsi="PT Astra Serif"/>
          <w:b/>
          <w:sz w:val="26"/>
          <w:szCs w:val="26"/>
        </w:rPr>
        <w:t xml:space="preserve"> </w:t>
      </w:r>
      <w:r w:rsidR="00D40955" w:rsidRPr="000E3F18">
        <w:rPr>
          <w:rFonts w:ascii="PT Astra Serif" w:hAnsi="PT Astra Serif"/>
          <w:b/>
          <w:sz w:val="26"/>
          <w:szCs w:val="26"/>
        </w:rPr>
        <w:t>деятельности субъектов малого</w:t>
      </w:r>
      <w:r w:rsidR="000E3F18" w:rsidRPr="000E3F18">
        <w:rPr>
          <w:rFonts w:ascii="PT Astra Serif" w:hAnsi="PT Astra Serif"/>
          <w:b/>
          <w:sz w:val="26"/>
          <w:szCs w:val="26"/>
        </w:rPr>
        <w:t xml:space="preserve"> </w:t>
      </w:r>
      <w:r w:rsidR="00D40955" w:rsidRPr="000E3F18">
        <w:rPr>
          <w:rFonts w:ascii="PT Astra Serif" w:hAnsi="PT Astra Serif"/>
          <w:b/>
          <w:sz w:val="26"/>
          <w:szCs w:val="26"/>
        </w:rPr>
        <w:t xml:space="preserve">и среднего </w:t>
      </w:r>
      <w:r w:rsidR="000E3F18" w:rsidRPr="000E3F18">
        <w:rPr>
          <w:rFonts w:ascii="PT Astra Serif" w:hAnsi="PT Astra Serif"/>
          <w:b/>
          <w:sz w:val="26"/>
          <w:szCs w:val="26"/>
        </w:rPr>
        <w:t xml:space="preserve"> </w:t>
      </w:r>
      <w:r w:rsidR="00D40955" w:rsidRPr="000E3F18">
        <w:rPr>
          <w:rFonts w:ascii="PT Astra Serif" w:hAnsi="PT Astra Serif"/>
          <w:b/>
          <w:sz w:val="26"/>
          <w:szCs w:val="26"/>
        </w:rPr>
        <w:t xml:space="preserve">предпринимательства города Югорска </w:t>
      </w:r>
    </w:p>
    <w:p w:rsidR="00983CF6" w:rsidRPr="000E3F18" w:rsidRDefault="00983CF6" w:rsidP="00983CF6">
      <w:pPr>
        <w:jc w:val="center"/>
        <w:rPr>
          <w:rFonts w:ascii="PT Astra Serif" w:hAnsi="PT Astra Serif"/>
          <w:b/>
          <w:sz w:val="26"/>
          <w:szCs w:val="26"/>
        </w:rPr>
      </w:pPr>
    </w:p>
    <w:p w:rsidR="00983CF6" w:rsidRPr="000E3F18" w:rsidRDefault="00983CF6" w:rsidP="00983CF6">
      <w:pPr>
        <w:pStyle w:val="310"/>
        <w:rPr>
          <w:rFonts w:ascii="PT Astra Serif" w:hAnsi="PT Astra Serif"/>
          <w:sz w:val="26"/>
          <w:szCs w:val="26"/>
        </w:rPr>
      </w:pPr>
    </w:p>
    <w:p w:rsidR="00983CF6" w:rsidRPr="000E3F18" w:rsidRDefault="00983CF6" w:rsidP="00983CF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E3F18">
        <w:rPr>
          <w:rFonts w:ascii="PT Astra Serif" w:hAnsi="PT Astra Serif"/>
          <w:sz w:val="26"/>
          <w:szCs w:val="26"/>
        </w:rPr>
        <w:t xml:space="preserve">Заслушав информацию администрации города Югорска о </w:t>
      </w:r>
      <w:r w:rsidR="00D40955" w:rsidRPr="000E3F18">
        <w:rPr>
          <w:rFonts w:ascii="PT Astra Serif" w:hAnsi="PT Astra Serif"/>
          <w:sz w:val="26"/>
          <w:szCs w:val="26"/>
        </w:rPr>
        <w:t xml:space="preserve">результатах деятельности субъектов малого и среднего предпринимательства </w:t>
      </w:r>
      <w:r w:rsidRPr="000E3F18">
        <w:rPr>
          <w:rFonts w:ascii="PT Astra Serif" w:hAnsi="PT Astra Serif"/>
          <w:sz w:val="26"/>
          <w:szCs w:val="26"/>
        </w:rPr>
        <w:t>город</w:t>
      </w:r>
      <w:r w:rsidR="00D40955" w:rsidRPr="000E3F18">
        <w:rPr>
          <w:rFonts w:ascii="PT Astra Serif" w:hAnsi="PT Astra Serif"/>
          <w:sz w:val="26"/>
          <w:szCs w:val="26"/>
        </w:rPr>
        <w:t>а</w:t>
      </w:r>
      <w:r w:rsidRPr="000E3F18">
        <w:rPr>
          <w:rFonts w:ascii="PT Astra Serif" w:hAnsi="PT Astra Serif"/>
          <w:sz w:val="26"/>
          <w:szCs w:val="26"/>
        </w:rPr>
        <w:t xml:space="preserve"> Югорск</w:t>
      </w:r>
      <w:r w:rsidR="00212A59" w:rsidRPr="000E3F18">
        <w:rPr>
          <w:rFonts w:ascii="PT Astra Serif" w:hAnsi="PT Astra Serif"/>
          <w:sz w:val="26"/>
          <w:szCs w:val="26"/>
        </w:rPr>
        <w:t>а</w:t>
      </w:r>
      <w:r w:rsidRPr="000E3F18">
        <w:rPr>
          <w:rFonts w:ascii="PT Astra Serif" w:hAnsi="PT Astra Serif"/>
          <w:sz w:val="26"/>
          <w:szCs w:val="26"/>
        </w:rPr>
        <w:t>,</w:t>
      </w:r>
    </w:p>
    <w:p w:rsidR="00983CF6" w:rsidRPr="000E3F18" w:rsidRDefault="00983CF6" w:rsidP="00983CF6">
      <w:pPr>
        <w:jc w:val="both"/>
        <w:rPr>
          <w:rFonts w:ascii="PT Astra Serif" w:hAnsi="PT Astra Serif"/>
          <w:sz w:val="26"/>
          <w:szCs w:val="26"/>
        </w:rPr>
      </w:pPr>
    </w:p>
    <w:p w:rsidR="00983CF6" w:rsidRPr="000E3F18" w:rsidRDefault="00983CF6" w:rsidP="00983CF6">
      <w:pPr>
        <w:rPr>
          <w:rFonts w:ascii="PT Astra Serif" w:hAnsi="PT Astra Serif"/>
          <w:b/>
          <w:bCs/>
          <w:sz w:val="26"/>
          <w:szCs w:val="26"/>
        </w:rPr>
      </w:pPr>
      <w:r w:rsidRPr="000E3F18">
        <w:rPr>
          <w:rFonts w:ascii="PT Astra Serif" w:hAnsi="PT Astra Serif"/>
          <w:b/>
          <w:bCs/>
          <w:sz w:val="26"/>
          <w:szCs w:val="26"/>
        </w:rPr>
        <w:t>ДУМА ГОРОДА ЮГОРСКА РЕШИЛА:</w:t>
      </w:r>
    </w:p>
    <w:p w:rsidR="00983CF6" w:rsidRPr="000E3F18" w:rsidRDefault="00983CF6" w:rsidP="00983CF6">
      <w:pPr>
        <w:jc w:val="both"/>
        <w:rPr>
          <w:rFonts w:ascii="PT Astra Serif" w:hAnsi="PT Astra Serif"/>
          <w:bCs/>
          <w:sz w:val="26"/>
          <w:szCs w:val="26"/>
        </w:rPr>
      </w:pPr>
    </w:p>
    <w:p w:rsidR="00983CF6" w:rsidRPr="000E3F18" w:rsidRDefault="00983CF6" w:rsidP="00D4095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E3F18">
        <w:rPr>
          <w:rFonts w:ascii="PT Astra Serif" w:hAnsi="PT Astra Serif"/>
          <w:bCs/>
          <w:sz w:val="26"/>
          <w:szCs w:val="26"/>
        </w:rPr>
        <w:t xml:space="preserve">1. Принять к сведению информацию </w:t>
      </w:r>
      <w:r w:rsidRPr="000E3F18">
        <w:rPr>
          <w:rFonts w:ascii="PT Astra Serif" w:hAnsi="PT Astra Serif"/>
          <w:sz w:val="26"/>
          <w:szCs w:val="26"/>
        </w:rPr>
        <w:t xml:space="preserve">о </w:t>
      </w:r>
      <w:r w:rsidR="00D40955" w:rsidRPr="000E3F18">
        <w:rPr>
          <w:rFonts w:ascii="PT Astra Serif" w:hAnsi="PT Astra Serif"/>
          <w:sz w:val="26"/>
          <w:szCs w:val="26"/>
        </w:rPr>
        <w:t>результатах деятельности субъектов малого и среднего предпринимательства города Югорск</w:t>
      </w:r>
      <w:r w:rsidR="00DD4607" w:rsidRPr="000E3F18">
        <w:rPr>
          <w:rFonts w:ascii="PT Astra Serif" w:hAnsi="PT Astra Serif"/>
          <w:sz w:val="26"/>
          <w:szCs w:val="26"/>
        </w:rPr>
        <w:t>а</w:t>
      </w:r>
      <w:r w:rsidR="00D40955" w:rsidRPr="000E3F18">
        <w:rPr>
          <w:rFonts w:ascii="PT Astra Serif" w:hAnsi="PT Astra Serif"/>
          <w:sz w:val="26"/>
          <w:szCs w:val="26"/>
        </w:rPr>
        <w:t xml:space="preserve"> </w:t>
      </w:r>
      <w:r w:rsidRPr="000E3F18">
        <w:rPr>
          <w:rFonts w:ascii="PT Astra Serif" w:hAnsi="PT Astra Serif"/>
          <w:sz w:val="26"/>
          <w:szCs w:val="26"/>
        </w:rPr>
        <w:t xml:space="preserve"> </w:t>
      </w:r>
      <w:r w:rsidRPr="000E3F18">
        <w:rPr>
          <w:rFonts w:ascii="PT Astra Serif" w:hAnsi="PT Astra Serif"/>
          <w:bCs/>
          <w:sz w:val="26"/>
          <w:szCs w:val="26"/>
        </w:rPr>
        <w:t>(приложение).</w:t>
      </w:r>
    </w:p>
    <w:p w:rsidR="00983CF6" w:rsidRPr="000E3F18" w:rsidRDefault="00983CF6" w:rsidP="00D40955">
      <w:pPr>
        <w:pStyle w:val="1"/>
        <w:tabs>
          <w:tab w:val="left" w:pos="0"/>
        </w:tabs>
        <w:spacing w:before="0"/>
        <w:ind w:firstLine="709"/>
        <w:jc w:val="both"/>
        <w:rPr>
          <w:rFonts w:ascii="PT Astra Serif" w:eastAsiaTheme="minorHAnsi" w:hAnsi="PT Astra Serif" w:cstheme="minorBidi"/>
          <w:b w:val="0"/>
          <w:color w:val="auto"/>
          <w:sz w:val="26"/>
          <w:szCs w:val="26"/>
        </w:rPr>
      </w:pPr>
      <w:r w:rsidRPr="000E3F18">
        <w:rPr>
          <w:rFonts w:ascii="PT Astra Serif" w:eastAsiaTheme="minorHAnsi" w:hAnsi="PT Astra Serif" w:cstheme="minorBidi"/>
          <w:b w:val="0"/>
          <w:color w:val="auto"/>
          <w:sz w:val="26"/>
          <w:szCs w:val="26"/>
        </w:rPr>
        <w:t>2. Настоящее решение вступает в силу после его подписания.</w:t>
      </w:r>
    </w:p>
    <w:p w:rsidR="00983CF6" w:rsidRPr="000E3F18" w:rsidRDefault="00983CF6" w:rsidP="00983CF6">
      <w:pPr>
        <w:rPr>
          <w:rFonts w:ascii="PT Astra Serif" w:hAnsi="PT Astra Serif"/>
          <w:sz w:val="26"/>
          <w:szCs w:val="26"/>
        </w:rPr>
      </w:pPr>
    </w:p>
    <w:p w:rsidR="00983CF6" w:rsidRPr="000E3F18" w:rsidRDefault="00983CF6" w:rsidP="00983CF6">
      <w:pPr>
        <w:rPr>
          <w:rFonts w:ascii="PT Astra Serif" w:hAnsi="PT Astra Serif"/>
          <w:sz w:val="26"/>
          <w:szCs w:val="26"/>
        </w:rPr>
      </w:pPr>
    </w:p>
    <w:p w:rsidR="000E3F18" w:rsidRPr="000E3F18" w:rsidRDefault="000E3F18" w:rsidP="00983CF6">
      <w:pPr>
        <w:rPr>
          <w:rFonts w:ascii="PT Astra Serif" w:hAnsi="PT Astra Serif"/>
          <w:sz w:val="26"/>
          <w:szCs w:val="26"/>
        </w:rPr>
      </w:pPr>
    </w:p>
    <w:p w:rsidR="000E3F18" w:rsidRPr="000E3F18" w:rsidRDefault="000E3F18" w:rsidP="00983CF6">
      <w:pPr>
        <w:rPr>
          <w:rFonts w:ascii="PT Astra Serif" w:hAnsi="PT Astra Serif"/>
          <w:sz w:val="26"/>
          <w:szCs w:val="26"/>
        </w:rPr>
      </w:pPr>
    </w:p>
    <w:p w:rsidR="00983CF6" w:rsidRPr="000E3F18" w:rsidRDefault="00983CF6" w:rsidP="00983CF6">
      <w:pPr>
        <w:rPr>
          <w:rFonts w:ascii="PT Astra Serif" w:hAnsi="PT Astra Serif"/>
          <w:sz w:val="26"/>
          <w:szCs w:val="26"/>
        </w:rPr>
      </w:pPr>
    </w:p>
    <w:p w:rsidR="00983CF6" w:rsidRPr="000E3F18" w:rsidRDefault="00983CF6" w:rsidP="00983CF6">
      <w:pPr>
        <w:jc w:val="both"/>
        <w:rPr>
          <w:rFonts w:ascii="PT Astra Serif" w:hAnsi="PT Astra Serif"/>
          <w:b/>
          <w:bCs/>
          <w:sz w:val="26"/>
          <w:szCs w:val="26"/>
        </w:rPr>
      </w:pPr>
      <w:r w:rsidRPr="000E3F18">
        <w:rPr>
          <w:rFonts w:ascii="PT Astra Serif" w:hAnsi="PT Astra Serif"/>
          <w:b/>
          <w:bCs/>
          <w:sz w:val="26"/>
          <w:szCs w:val="26"/>
        </w:rPr>
        <w:t>Председатель Думы города Югорска</w:t>
      </w:r>
      <w:r w:rsidRPr="000E3F18">
        <w:rPr>
          <w:rFonts w:ascii="PT Astra Serif" w:hAnsi="PT Astra Serif"/>
          <w:b/>
          <w:bCs/>
          <w:sz w:val="26"/>
          <w:szCs w:val="26"/>
        </w:rPr>
        <w:tab/>
      </w:r>
      <w:r w:rsidRPr="000E3F18">
        <w:rPr>
          <w:rFonts w:ascii="PT Astra Serif" w:hAnsi="PT Astra Serif"/>
          <w:b/>
          <w:bCs/>
          <w:sz w:val="26"/>
          <w:szCs w:val="26"/>
        </w:rPr>
        <w:tab/>
      </w:r>
      <w:r w:rsidRPr="000E3F18">
        <w:rPr>
          <w:rFonts w:ascii="PT Astra Serif" w:hAnsi="PT Astra Serif"/>
          <w:b/>
          <w:bCs/>
          <w:sz w:val="26"/>
          <w:szCs w:val="26"/>
        </w:rPr>
        <w:tab/>
      </w:r>
      <w:r w:rsidRPr="000E3F18">
        <w:rPr>
          <w:rFonts w:ascii="PT Astra Serif" w:hAnsi="PT Astra Serif"/>
          <w:b/>
          <w:bCs/>
          <w:sz w:val="26"/>
          <w:szCs w:val="26"/>
        </w:rPr>
        <w:tab/>
        <w:t xml:space="preserve">      </w:t>
      </w:r>
      <w:r w:rsidR="000E3F18" w:rsidRPr="000E3F18">
        <w:rPr>
          <w:rFonts w:ascii="PT Astra Serif" w:hAnsi="PT Astra Serif"/>
          <w:b/>
          <w:bCs/>
          <w:sz w:val="26"/>
          <w:szCs w:val="26"/>
        </w:rPr>
        <w:t xml:space="preserve">    </w:t>
      </w:r>
      <w:r w:rsidRPr="000E3F18">
        <w:rPr>
          <w:rFonts w:ascii="PT Astra Serif" w:hAnsi="PT Astra Serif"/>
          <w:b/>
          <w:bCs/>
          <w:sz w:val="26"/>
          <w:szCs w:val="26"/>
        </w:rPr>
        <w:t xml:space="preserve"> В.А. Климин</w:t>
      </w:r>
    </w:p>
    <w:p w:rsidR="000E3F18" w:rsidRDefault="000E3F18" w:rsidP="00983CF6">
      <w:pPr>
        <w:jc w:val="right"/>
        <w:rPr>
          <w:rFonts w:ascii="PT Astra Serif" w:hAnsi="PT Astra Serif"/>
          <w:b/>
          <w:bCs/>
          <w:sz w:val="28"/>
          <w:szCs w:val="28"/>
        </w:rPr>
      </w:pPr>
    </w:p>
    <w:p w:rsidR="000E3F18" w:rsidRDefault="000E3F18" w:rsidP="00983CF6">
      <w:pPr>
        <w:jc w:val="right"/>
        <w:rPr>
          <w:rFonts w:ascii="PT Astra Serif" w:hAnsi="PT Astra Serif"/>
          <w:b/>
          <w:bCs/>
          <w:sz w:val="28"/>
          <w:szCs w:val="28"/>
        </w:rPr>
      </w:pPr>
    </w:p>
    <w:p w:rsidR="000E3F18" w:rsidRDefault="000E3F18" w:rsidP="00983CF6">
      <w:pPr>
        <w:jc w:val="right"/>
        <w:rPr>
          <w:rFonts w:ascii="PT Astra Serif" w:hAnsi="PT Astra Serif"/>
          <w:b/>
          <w:bCs/>
          <w:sz w:val="28"/>
          <w:szCs w:val="28"/>
        </w:rPr>
      </w:pPr>
    </w:p>
    <w:p w:rsidR="000E3F18" w:rsidRDefault="000E3F18" w:rsidP="00983CF6">
      <w:pPr>
        <w:jc w:val="right"/>
        <w:rPr>
          <w:rFonts w:ascii="PT Astra Serif" w:hAnsi="PT Astra Serif"/>
          <w:b/>
          <w:bCs/>
          <w:sz w:val="28"/>
          <w:szCs w:val="28"/>
        </w:rPr>
      </w:pPr>
    </w:p>
    <w:p w:rsidR="000E3F18" w:rsidRDefault="000E3F18" w:rsidP="00983CF6">
      <w:pPr>
        <w:jc w:val="right"/>
        <w:rPr>
          <w:rFonts w:ascii="PT Astra Serif" w:hAnsi="PT Astra Serif"/>
          <w:b/>
          <w:bCs/>
          <w:sz w:val="28"/>
          <w:szCs w:val="28"/>
        </w:rPr>
      </w:pPr>
    </w:p>
    <w:p w:rsidR="000E3F18" w:rsidRDefault="000E3F18" w:rsidP="00983CF6">
      <w:pPr>
        <w:jc w:val="right"/>
        <w:rPr>
          <w:rFonts w:ascii="PT Astra Serif" w:hAnsi="PT Astra Serif"/>
          <w:b/>
          <w:bCs/>
          <w:sz w:val="28"/>
          <w:szCs w:val="28"/>
        </w:rPr>
      </w:pPr>
    </w:p>
    <w:p w:rsidR="000E3F18" w:rsidRDefault="000E3F18" w:rsidP="00983CF6">
      <w:pPr>
        <w:jc w:val="right"/>
        <w:rPr>
          <w:rFonts w:ascii="PT Astra Serif" w:hAnsi="PT Astra Serif"/>
          <w:b/>
          <w:bCs/>
          <w:sz w:val="28"/>
          <w:szCs w:val="28"/>
        </w:rPr>
      </w:pPr>
    </w:p>
    <w:p w:rsidR="000E3F18" w:rsidRDefault="000E3F18" w:rsidP="00983CF6">
      <w:pPr>
        <w:jc w:val="right"/>
        <w:rPr>
          <w:rFonts w:ascii="PT Astra Serif" w:hAnsi="PT Astra Serif"/>
          <w:b/>
          <w:bCs/>
          <w:sz w:val="28"/>
          <w:szCs w:val="28"/>
        </w:rPr>
      </w:pPr>
    </w:p>
    <w:p w:rsidR="000E3F18" w:rsidRDefault="000E3F18" w:rsidP="00983CF6">
      <w:pPr>
        <w:jc w:val="right"/>
        <w:rPr>
          <w:rFonts w:ascii="PT Astra Serif" w:hAnsi="PT Astra Serif"/>
          <w:b/>
          <w:bCs/>
          <w:sz w:val="28"/>
          <w:szCs w:val="28"/>
        </w:rPr>
      </w:pPr>
    </w:p>
    <w:p w:rsidR="000E3F18" w:rsidRDefault="000E3F18" w:rsidP="00983CF6">
      <w:pPr>
        <w:jc w:val="right"/>
        <w:rPr>
          <w:rFonts w:ascii="PT Astra Serif" w:hAnsi="PT Astra Serif"/>
          <w:b/>
          <w:bCs/>
          <w:sz w:val="28"/>
          <w:szCs w:val="28"/>
        </w:rPr>
      </w:pPr>
    </w:p>
    <w:p w:rsidR="000E3F18" w:rsidRDefault="000E3F18" w:rsidP="00983CF6">
      <w:pPr>
        <w:jc w:val="right"/>
        <w:rPr>
          <w:rFonts w:ascii="PT Astra Serif" w:hAnsi="PT Astra Serif"/>
          <w:b/>
          <w:bCs/>
          <w:sz w:val="28"/>
          <w:szCs w:val="28"/>
        </w:rPr>
      </w:pPr>
    </w:p>
    <w:p w:rsidR="000E3F18" w:rsidRDefault="000E3F18" w:rsidP="00983CF6">
      <w:pPr>
        <w:jc w:val="right"/>
        <w:rPr>
          <w:rFonts w:ascii="PT Astra Serif" w:hAnsi="PT Astra Serif"/>
          <w:b/>
          <w:bCs/>
          <w:sz w:val="28"/>
          <w:szCs w:val="28"/>
        </w:rPr>
      </w:pPr>
    </w:p>
    <w:p w:rsidR="000E3F18" w:rsidRDefault="000E3F18" w:rsidP="00983CF6">
      <w:pPr>
        <w:jc w:val="right"/>
        <w:rPr>
          <w:rFonts w:ascii="PT Astra Serif" w:hAnsi="PT Astra Serif"/>
          <w:b/>
          <w:bCs/>
          <w:sz w:val="28"/>
          <w:szCs w:val="28"/>
        </w:rPr>
      </w:pPr>
    </w:p>
    <w:p w:rsidR="000E3F18" w:rsidRDefault="000E3F18" w:rsidP="00983CF6">
      <w:pPr>
        <w:jc w:val="right"/>
        <w:rPr>
          <w:rFonts w:ascii="PT Astra Serif" w:hAnsi="PT Astra Serif"/>
          <w:b/>
          <w:bCs/>
          <w:sz w:val="28"/>
          <w:szCs w:val="28"/>
        </w:rPr>
      </w:pPr>
    </w:p>
    <w:p w:rsidR="000E3F18" w:rsidRDefault="000E3F18" w:rsidP="00983CF6">
      <w:pPr>
        <w:jc w:val="right"/>
        <w:rPr>
          <w:rFonts w:ascii="PT Astra Serif" w:hAnsi="PT Astra Serif"/>
          <w:b/>
          <w:bCs/>
          <w:sz w:val="28"/>
          <w:szCs w:val="28"/>
        </w:rPr>
      </w:pPr>
    </w:p>
    <w:p w:rsidR="000E3F18" w:rsidRPr="000E3F18" w:rsidRDefault="000E3F18" w:rsidP="000E3F18">
      <w:pPr>
        <w:tabs>
          <w:tab w:val="left" w:pos="936"/>
        </w:tabs>
        <w:suppressAutoHyphens w:val="0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0E3F18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«29» июня 2021 года </w:t>
      </w:r>
    </w:p>
    <w:p w:rsidR="000E3F18" w:rsidRPr="000E3F18" w:rsidRDefault="000E3F18" w:rsidP="000E3F18">
      <w:pPr>
        <w:tabs>
          <w:tab w:val="left" w:pos="936"/>
        </w:tabs>
        <w:suppressAutoHyphens w:val="0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0E3F18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(дата подписания)</w:t>
      </w:r>
    </w:p>
    <w:p w:rsidR="000E3F18" w:rsidRPr="00E0514B" w:rsidRDefault="00983CF6" w:rsidP="000E3F18">
      <w:pPr>
        <w:ind w:left="6096"/>
        <w:rPr>
          <w:rFonts w:ascii="PT Astra Serif" w:eastAsia="Times New Roman" w:hAnsi="PT Astra Serif"/>
          <w:b/>
          <w:bCs/>
          <w:sz w:val="26"/>
          <w:szCs w:val="26"/>
          <w:lang w:eastAsia="ar-SA"/>
        </w:rPr>
      </w:pPr>
      <w:r>
        <w:rPr>
          <w:rFonts w:ascii="PT Astra Serif" w:hAnsi="PT Astra Serif"/>
          <w:b/>
          <w:bCs/>
          <w:sz w:val="28"/>
          <w:szCs w:val="28"/>
        </w:rPr>
        <w:br w:type="page"/>
      </w:r>
      <w:r w:rsidR="00D40955" w:rsidRPr="00E0514B">
        <w:rPr>
          <w:rFonts w:ascii="PT Astra Serif" w:eastAsia="Times New Roman" w:hAnsi="PT Astra Serif"/>
          <w:b/>
          <w:bCs/>
          <w:sz w:val="26"/>
          <w:szCs w:val="26"/>
          <w:lang w:eastAsia="ar-SA"/>
        </w:rPr>
        <w:lastRenderedPageBreak/>
        <w:t>Приложение</w:t>
      </w:r>
      <w:r w:rsidR="000E3F18" w:rsidRPr="00E0514B">
        <w:rPr>
          <w:rFonts w:ascii="PT Astra Serif" w:eastAsia="Times New Roman" w:hAnsi="PT Astra Serif"/>
          <w:b/>
          <w:bCs/>
          <w:sz w:val="26"/>
          <w:szCs w:val="26"/>
          <w:lang w:eastAsia="ar-SA"/>
        </w:rPr>
        <w:t xml:space="preserve"> к решению </w:t>
      </w:r>
      <w:r w:rsidR="00D40955" w:rsidRPr="00E0514B">
        <w:rPr>
          <w:rFonts w:ascii="PT Astra Serif" w:eastAsia="Times New Roman" w:hAnsi="PT Astra Serif"/>
          <w:b/>
          <w:bCs/>
          <w:sz w:val="26"/>
          <w:szCs w:val="26"/>
          <w:lang w:eastAsia="ar-SA"/>
        </w:rPr>
        <w:t>Думы города Югорска</w:t>
      </w:r>
    </w:p>
    <w:p w:rsidR="00D40955" w:rsidRPr="00E0514B" w:rsidRDefault="000E3F18" w:rsidP="000E3F18">
      <w:pPr>
        <w:ind w:left="6096"/>
        <w:rPr>
          <w:rFonts w:ascii="PT Astra Serif" w:eastAsia="Times New Roman" w:hAnsi="PT Astra Serif"/>
          <w:b/>
          <w:bCs/>
          <w:sz w:val="26"/>
          <w:szCs w:val="26"/>
          <w:lang w:eastAsia="ar-SA"/>
        </w:rPr>
      </w:pPr>
      <w:r w:rsidRPr="00E0514B">
        <w:rPr>
          <w:rFonts w:ascii="PT Astra Serif" w:eastAsia="Times New Roman" w:hAnsi="PT Astra Serif"/>
          <w:b/>
          <w:bCs/>
          <w:sz w:val="26"/>
          <w:szCs w:val="26"/>
          <w:lang w:eastAsia="ar-SA"/>
        </w:rPr>
        <w:t>о</w:t>
      </w:r>
      <w:r w:rsidR="00D40955" w:rsidRPr="00E0514B">
        <w:rPr>
          <w:rFonts w:ascii="PT Astra Serif" w:eastAsia="Times New Roman" w:hAnsi="PT Astra Serif"/>
          <w:b/>
          <w:bCs/>
          <w:sz w:val="26"/>
          <w:szCs w:val="26"/>
          <w:lang w:eastAsia="ar-SA"/>
        </w:rPr>
        <w:t>т</w:t>
      </w:r>
      <w:r w:rsidRPr="00E0514B">
        <w:rPr>
          <w:rFonts w:ascii="PT Astra Serif" w:eastAsia="Times New Roman" w:hAnsi="PT Astra Serif"/>
          <w:b/>
          <w:bCs/>
          <w:sz w:val="26"/>
          <w:szCs w:val="26"/>
          <w:lang w:eastAsia="ar-SA"/>
        </w:rPr>
        <w:t xml:space="preserve"> 29 июня 2021 года </w:t>
      </w:r>
      <w:r w:rsidR="00D40955" w:rsidRPr="00E0514B">
        <w:rPr>
          <w:rFonts w:ascii="PT Astra Serif" w:eastAsia="Times New Roman" w:hAnsi="PT Astra Serif"/>
          <w:b/>
          <w:bCs/>
          <w:sz w:val="26"/>
          <w:szCs w:val="26"/>
          <w:lang w:eastAsia="ar-SA"/>
        </w:rPr>
        <w:t>№</w:t>
      </w:r>
      <w:r w:rsidRPr="00E0514B">
        <w:rPr>
          <w:rFonts w:ascii="PT Astra Serif" w:eastAsia="Times New Roman" w:hAnsi="PT Astra Serif"/>
          <w:b/>
          <w:bCs/>
          <w:sz w:val="26"/>
          <w:szCs w:val="26"/>
          <w:lang w:eastAsia="ar-SA"/>
        </w:rPr>
        <w:t xml:space="preserve"> 47</w:t>
      </w:r>
    </w:p>
    <w:p w:rsidR="00D40955" w:rsidRPr="007C1805" w:rsidRDefault="00D40955" w:rsidP="0062145D">
      <w:pPr>
        <w:spacing w:line="276" w:lineRule="auto"/>
        <w:ind w:firstLine="567"/>
        <w:jc w:val="both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057DA5" w:rsidRPr="00057DA5" w:rsidRDefault="00D40955" w:rsidP="00D40955">
      <w:pPr>
        <w:jc w:val="center"/>
        <w:rPr>
          <w:rFonts w:ascii="PT Astra Serif" w:hAnsi="PT Astra Serif"/>
          <w:b/>
          <w:sz w:val="26"/>
          <w:szCs w:val="26"/>
        </w:rPr>
      </w:pPr>
      <w:r w:rsidRPr="00057DA5">
        <w:rPr>
          <w:rFonts w:ascii="PT Astra Serif" w:hAnsi="PT Astra Serif"/>
          <w:b/>
          <w:sz w:val="26"/>
          <w:szCs w:val="26"/>
        </w:rPr>
        <w:t xml:space="preserve">О результатах мониторинга деятельности субъектов </w:t>
      </w:r>
    </w:p>
    <w:p w:rsidR="00D40955" w:rsidRPr="00057DA5" w:rsidRDefault="00D40955" w:rsidP="00D40955">
      <w:pPr>
        <w:jc w:val="center"/>
        <w:rPr>
          <w:rFonts w:ascii="PT Astra Serif" w:hAnsi="PT Astra Serif"/>
          <w:b/>
          <w:sz w:val="26"/>
          <w:szCs w:val="26"/>
        </w:rPr>
      </w:pPr>
      <w:r w:rsidRPr="00057DA5">
        <w:rPr>
          <w:rFonts w:ascii="PT Astra Serif" w:hAnsi="PT Astra Serif"/>
          <w:b/>
          <w:sz w:val="26"/>
          <w:szCs w:val="26"/>
        </w:rPr>
        <w:t xml:space="preserve">малого и среднего предпринимательства города Югорска </w:t>
      </w:r>
    </w:p>
    <w:p w:rsidR="00D40955" w:rsidRPr="00057DA5" w:rsidRDefault="00D40955" w:rsidP="0062145D">
      <w:pPr>
        <w:spacing w:line="276" w:lineRule="auto"/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</w:p>
    <w:p w:rsidR="00D40955" w:rsidRPr="00057DA5" w:rsidRDefault="00D40955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Настоящая информация подготовлена на основе данных Единого реестра субъектов малого и среднего предпринимательства Федеральной налоговой службы, данных государственной статистики, результатов социологического опроса, проведенного администрацией города Югорска.</w:t>
      </w:r>
    </w:p>
    <w:p w:rsidR="004A18C4" w:rsidRPr="00057DA5" w:rsidRDefault="00C825B6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Количество субъектов малого и среднего предпринимательства</w:t>
      </w:r>
      <w:r w:rsidR="00A13CBB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(далее – МСП)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, осуществляющих деятельность на территории города Югорска </w:t>
      </w:r>
      <w:r w:rsidR="002C113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по состоянию на 01.01.2021 </w:t>
      </w:r>
      <w:r w:rsidR="00792CA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года составило 1235 субъектов</w:t>
      </w:r>
      <w:r w:rsidR="005D4F7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, из них: </w:t>
      </w:r>
      <w:r w:rsidR="00792CA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353</w:t>
      </w:r>
      <w:r w:rsidR="005D4F7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субъекта - юридические лица</w:t>
      </w:r>
      <w:r w:rsidR="00792CA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, </w:t>
      </w:r>
      <w:r w:rsidR="005D4F7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882 – индивидуальные предприниматели.</w:t>
      </w:r>
      <w:r w:rsidR="00C91A98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По сравнению с аналогичным периодом 2020 года </w:t>
      </w:r>
      <w:r w:rsidR="00E8250E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количество хозяйствующих субъектов </w:t>
      </w:r>
      <w:r w:rsidR="00BB6463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уменьшилось</w:t>
      </w:r>
      <w:r w:rsidR="00056425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на</w:t>
      </w:r>
      <w:r w:rsidR="008A2D2F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46 субъектов. </w:t>
      </w:r>
      <w:r w:rsidR="004A18C4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В тоже время</w:t>
      </w:r>
      <w:r w:rsidR="00087783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,</w:t>
      </w:r>
      <w:r w:rsidR="004A18C4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на территории города Югорска</w:t>
      </w:r>
      <w:r w:rsidR="005D4F7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по состоянию</w:t>
      </w:r>
      <w:r w:rsidR="004A18C4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на 01.01.2021 года зарегистрирова</w:t>
      </w:r>
      <w:r w:rsidR="005D4F7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но</w:t>
      </w:r>
      <w:r w:rsidR="004A18C4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442 </w:t>
      </w:r>
      <w:proofErr w:type="spellStart"/>
      <w:r w:rsidR="004A18C4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самозанятых</w:t>
      </w:r>
      <w:proofErr w:type="spellEnd"/>
      <w:r w:rsidR="00726BF6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граждан</w:t>
      </w:r>
      <w:r w:rsidR="005062A0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ина</w:t>
      </w:r>
      <w:r w:rsidR="004A18C4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, </w:t>
      </w:r>
      <w:r w:rsidR="005D4F7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которые </w:t>
      </w:r>
      <w:r w:rsidR="004A18C4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применяю</w:t>
      </w:r>
      <w:r w:rsidR="005D4F7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т</w:t>
      </w:r>
      <w:r w:rsidR="004A18C4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режим налогообл</w:t>
      </w:r>
      <w:r w:rsidR="00087783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о</w:t>
      </w:r>
      <w:r w:rsidR="004A18C4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жения «Налог на профессиональный доход». На </w:t>
      </w:r>
      <w:r w:rsidR="005D4F7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новый</w:t>
      </w:r>
      <w:r w:rsidR="004A18C4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вид налогообл</w:t>
      </w:r>
      <w:r w:rsidR="00087783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о</w:t>
      </w:r>
      <w:r w:rsidR="004A18C4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жения вправе перейти </w:t>
      </w:r>
      <w:r w:rsidR="005D4F7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не только граждане, желающие легализовать  свою деятельность, но и </w:t>
      </w:r>
      <w:r w:rsidR="004A18C4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индивидуальные предприниматели. </w:t>
      </w:r>
      <w:r w:rsidR="007D692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Ч</w:t>
      </w:r>
      <w:r w:rsidR="004A18C4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асть </w:t>
      </w:r>
      <w:r w:rsidR="00E80319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индивидуальных </w:t>
      </w:r>
      <w:r w:rsidR="004A18C4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предпринимателей</w:t>
      </w:r>
      <w:r w:rsidR="005D4F7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воспользовались </w:t>
      </w:r>
      <w:r w:rsidR="004A18C4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</w:t>
      </w:r>
      <w:r w:rsidR="005D4F7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таким правом</w:t>
      </w:r>
      <w:r w:rsidR="00C50B2D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,</w:t>
      </w:r>
      <w:r w:rsidR="005D4F7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</w:t>
      </w:r>
      <w:r w:rsidR="004A18C4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перешли в </w:t>
      </w:r>
      <w:r w:rsidR="00E80319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статус «</w:t>
      </w:r>
      <w:proofErr w:type="spellStart"/>
      <w:r w:rsidR="00E80319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самозанятые</w:t>
      </w:r>
      <w:proofErr w:type="spellEnd"/>
      <w:r w:rsidR="00E80319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»</w:t>
      </w:r>
      <w:r w:rsidR="00C50B2D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и</w:t>
      </w:r>
      <w:r w:rsidR="00E80319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</w:t>
      </w:r>
      <w:r w:rsidR="007D692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продолжа</w:t>
      </w:r>
      <w:r w:rsidR="001A6F4D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ют</w:t>
      </w:r>
      <w:r w:rsidR="007D692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осуществлять предпринимательскую деятельность, </w:t>
      </w:r>
      <w:r w:rsidR="001A6F4D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но </w:t>
      </w:r>
      <w:r w:rsidR="007D692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при этом</w:t>
      </w:r>
      <w:r w:rsidR="00E80319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не являются субъектами </w:t>
      </w:r>
      <w:r w:rsidR="00A13CBB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МСП</w:t>
      </w:r>
      <w:r w:rsidR="004A18C4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.</w:t>
      </w:r>
    </w:p>
    <w:p w:rsidR="004A18C4" w:rsidRPr="00057DA5" w:rsidRDefault="00C33E06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На протяжении </w:t>
      </w:r>
      <w:r w:rsidR="001A6F4D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прошедшего периода 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2021 года количество субъектов </w:t>
      </w:r>
      <w:r w:rsidR="001A6F4D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МСП увеличилось лишь на 2 субъекта и составило </w:t>
      </w:r>
      <w:r w:rsidR="00FC02E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- 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1237</w:t>
      </w:r>
      <w:r w:rsidR="00E74E29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, </w:t>
      </w:r>
      <w:r w:rsidR="001A6F4D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ряды </w:t>
      </w:r>
      <w:proofErr w:type="spellStart"/>
      <w:r w:rsidR="00E74E29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самозанятых</w:t>
      </w:r>
      <w:proofErr w:type="spellEnd"/>
      <w:r w:rsidR="00E74E29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</w:t>
      </w:r>
      <w:r w:rsidR="001A6F4D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граждан пополнили 188 человек и, на 01.06.2021</w:t>
      </w:r>
      <w:r w:rsidR="00DD460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,</w:t>
      </w:r>
      <w:r w:rsidR="001A6F4D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их </w:t>
      </w:r>
      <w:r w:rsidR="00E74E29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630</w:t>
      </w:r>
      <w:r w:rsidR="00DD460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человек</w:t>
      </w:r>
      <w:r w:rsidR="00E74E29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.</w:t>
      </w:r>
    </w:p>
    <w:p w:rsidR="00C825B6" w:rsidRPr="00057DA5" w:rsidRDefault="00FA0522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По состоянию на  01.06.2021 в городе Югорске в сфере малого и среднего предпринимательства з</w:t>
      </w:r>
      <w:r w:rsidR="00C825B6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анято 3815 </w:t>
      </w:r>
      <w:r w:rsidR="00FC02E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человек</w:t>
      </w:r>
      <w:r w:rsidR="00E74E29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, что составляет </w:t>
      </w:r>
      <w:r w:rsidR="00337F8D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25,0</w:t>
      </w:r>
      <w:r w:rsidR="00A354CA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% от среднесписочной численности работников 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по полному кругу</w:t>
      </w:r>
      <w:r w:rsidR="00A354CA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предприятий и организаций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города</w:t>
      </w:r>
      <w:r w:rsidR="00A354CA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.</w:t>
      </w:r>
    </w:p>
    <w:p w:rsidR="00C825B6" w:rsidRPr="00057DA5" w:rsidRDefault="00C825B6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В бюджет города Югорска за 2020 год от предпринимательской деятельности поступило налогов </w:t>
      </w:r>
      <w:r w:rsidR="00FA052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(налоги на совокупный доход) 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на сумму 102,6 млн. рублей</w:t>
      </w:r>
      <w:r w:rsidR="00FA052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или 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97,6%</w:t>
      </w:r>
      <w:r w:rsidR="00FA052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к результатам 2019 года.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</w:t>
      </w:r>
      <w:r w:rsidR="00FA052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Одной из причин у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меньшени</w:t>
      </w:r>
      <w:r w:rsidR="00FA052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я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объемов поступлений налогов является следствие</w:t>
      </w:r>
      <w:r w:rsidR="00FA052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мер поддержки субъектов предпринимательства, принятых на федеральном уровне в период пандемии, в части освобождений от уплаты </w:t>
      </w:r>
      <w:r w:rsidR="00FA052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и продлении сроков уплаты по 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ряд</w:t>
      </w:r>
      <w:r w:rsidR="00FA052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у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налогов. </w:t>
      </w:r>
    </w:p>
    <w:p w:rsidR="00C825B6" w:rsidRPr="00057DA5" w:rsidRDefault="00C825B6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Малыми предприятиями города произведено</w:t>
      </w:r>
      <w:r w:rsidR="003872CC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(в сравнении с результатами за 2019 год)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:</w:t>
      </w:r>
    </w:p>
    <w:p w:rsidR="00C825B6" w:rsidRPr="00057DA5" w:rsidRDefault="00C825B6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- 1 716,0 тонн хлеба и хлебобулочных изделий (95,4%); </w:t>
      </w:r>
    </w:p>
    <w:p w:rsidR="00C825B6" w:rsidRPr="00057DA5" w:rsidRDefault="00C825B6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- 39,2 тонны колбасных изделий (104,8%); </w:t>
      </w:r>
    </w:p>
    <w:p w:rsidR="00C825B6" w:rsidRPr="00057DA5" w:rsidRDefault="00C825B6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- 2 343,1 тонны молока, прошедшего промышленную переработку (100,7%);</w:t>
      </w:r>
    </w:p>
    <w:p w:rsidR="00C825B6" w:rsidRPr="00057DA5" w:rsidRDefault="00C825B6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- 33,5 тыс. м</w:t>
      </w:r>
      <w:r w:rsidRPr="00057DA5">
        <w:rPr>
          <w:rFonts w:ascii="PT Astra Serif" w:eastAsia="Times New Roman" w:hAnsi="PT Astra Serif"/>
          <w:bCs/>
          <w:sz w:val="26"/>
          <w:szCs w:val="26"/>
          <w:vertAlign w:val="superscript"/>
          <w:lang w:eastAsia="ar-SA"/>
        </w:rPr>
        <w:t>3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пиломатериалов (97,4%);</w:t>
      </w:r>
    </w:p>
    <w:p w:rsidR="00C825B6" w:rsidRPr="00057DA5" w:rsidRDefault="00C825B6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- заготовлено и вывезено 98,6 тыс. м</w:t>
      </w:r>
      <w:r w:rsidRPr="00057DA5">
        <w:rPr>
          <w:rFonts w:ascii="PT Astra Serif" w:eastAsia="Times New Roman" w:hAnsi="PT Astra Serif"/>
          <w:bCs/>
          <w:sz w:val="26"/>
          <w:szCs w:val="26"/>
          <w:vertAlign w:val="superscript"/>
          <w:lang w:eastAsia="ar-SA"/>
        </w:rPr>
        <w:t>3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древесины (82,9%).</w:t>
      </w:r>
    </w:p>
    <w:p w:rsidR="003351DC" w:rsidRPr="00057DA5" w:rsidRDefault="003872CC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Введение ограничительных мер в связи с пандемией в</w:t>
      </w:r>
      <w:r w:rsidR="00C825B6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2020 году 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потребовал</w:t>
      </w:r>
      <w:r w:rsidR="00F47A6C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о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как от бизнеса</w:t>
      </w:r>
      <w:r w:rsidR="00F47A6C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,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так и от органов власти </w:t>
      </w:r>
      <w:r w:rsidR="00F47A6C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принятия экстренных мер для минимизации последствий простоев</w:t>
      </w:r>
      <w:r w:rsidR="006D5C9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и</w:t>
      </w:r>
      <w:r w:rsidR="00F47A6C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ухудшения финансового состояния предпринимателей. </w:t>
      </w:r>
      <w:r w:rsidR="006D5C9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Органами власти всех уровней были выработаны меры поддержки, которые позволили большинству предпринимателей сохранить рабочие места, выйти из кризиса с минимальными потерями. По итогам 2020 года 420 субъектов МСП города Югорска воспользовались различными финансовыми мерами поддержки на общую сумму 253,8 млн. рублей. Пандемия поспособствовала некоторым позитивным </w:t>
      </w:r>
      <w:r w:rsidR="006D5C9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lastRenderedPageBreak/>
        <w:t xml:space="preserve">тенденциям – всплеск развития электронных сервисов, рост конкуренции, переход на новые формы и виды оказания услуг, легализация теневого бизнеса. </w:t>
      </w:r>
    </w:p>
    <w:p w:rsidR="00F56463" w:rsidRPr="00057DA5" w:rsidRDefault="00D53713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С целью мониторинга ситуации </w:t>
      </w:r>
      <w:r w:rsidR="006D5C9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сложившейся в муниципальном образовании 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в сфере малого и среднего </w:t>
      </w:r>
      <w:r w:rsidR="00FE5631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предпринимательства</w:t>
      </w:r>
      <w:r w:rsidR="00F56463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по итогам 2020 года</w:t>
      </w:r>
      <w:r w:rsidR="00087783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,</w:t>
      </w:r>
      <w:r w:rsidR="00FE5631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администрацией города </w:t>
      </w:r>
      <w:proofErr w:type="gramStart"/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проведен</w:t>
      </w:r>
      <w:proofErr w:type="gramEnd"/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онлайн-опрос </w:t>
      </w:r>
      <w:r w:rsidR="00FE5631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среди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субъектов предпринимательства</w:t>
      </w:r>
      <w:r w:rsidR="006D5C9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. Опрос пров</w:t>
      </w:r>
      <w:r w:rsidR="00F56463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одился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</w:t>
      </w:r>
      <w:r w:rsidR="006D5C9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в период феврал</w:t>
      </w:r>
      <w:r w:rsidR="00DD460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ь</w:t>
      </w:r>
      <w:r w:rsidR="006D5C9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</w:t>
      </w:r>
      <w:r w:rsidR="00F56463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- </w:t>
      </w:r>
      <w:r w:rsidR="006D5C9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апрель </w:t>
      </w:r>
      <w:r w:rsidR="00F56463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текущего</w:t>
      </w:r>
      <w:r w:rsidR="006D5C9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года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.</w:t>
      </w:r>
      <w:r w:rsidR="00F56463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</w:t>
      </w:r>
      <w:r w:rsidR="00335F01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В опросе п</w:t>
      </w:r>
      <w:r w:rsidR="00F56463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риняли участие 109 респондентов – субъектов МСП </w:t>
      </w:r>
      <w:r w:rsidR="00335F01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из следующих сфер</w:t>
      </w:r>
      <w:r w:rsidR="00F56463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деятельности</w:t>
      </w:r>
      <w:r w:rsidR="00335F01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: розничная торговля, здравоохранение, общественное питание, образование, предоставление социальных услуг, деятельность в области спорта и досуга. </w:t>
      </w:r>
    </w:p>
    <w:p w:rsidR="00C30162" w:rsidRPr="00057DA5" w:rsidRDefault="00C30162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Боле</w:t>
      </w:r>
      <w:r w:rsidR="00087783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е половины респондентов (54,1%)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осуществля</w:t>
      </w:r>
      <w:r w:rsidR="00F56463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ю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т деятельность в сфере розничной торговли. </w:t>
      </w:r>
      <w:r w:rsidR="00DD460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По городу Югорску  </w:t>
      </w:r>
      <w:r w:rsidR="00207E14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т</w:t>
      </w:r>
      <w:r w:rsidR="007533E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акая тенденция сохраняется </w:t>
      </w:r>
      <w:r w:rsidR="00DD460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на протяжении многих лет</w:t>
      </w:r>
      <w:r w:rsidR="00AB3FCC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.</w:t>
      </w:r>
    </w:p>
    <w:p w:rsidR="00C30162" w:rsidRPr="00057DA5" w:rsidRDefault="00087783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63,3% 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респондентов осуществляют предпринимательскую деятельность от 5 лет и более. Это </w:t>
      </w:r>
      <w:r w:rsidR="00AB3FCC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дает основание считать, что </w:t>
      </w:r>
      <w:r w:rsidR="00C074A6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предприниматели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осознанно</w:t>
      </w:r>
      <w:r w:rsidR="00F56463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, основываясь на предпринимательском опыте работы</w:t>
      </w:r>
      <w:r w:rsidR="00207E14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,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под</w:t>
      </w:r>
      <w:r w:rsidR="0059290D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ош</w:t>
      </w:r>
      <w:r w:rsidR="00C074A6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ли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к опросу</w:t>
      </w:r>
      <w:r w:rsidR="00C074A6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.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</w:t>
      </w:r>
    </w:p>
    <w:p w:rsidR="00C30162" w:rsidRPr="00057DA5" w:rsidRDefault="001346F1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Примерно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половин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а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респондентов не имеют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на</w:t>
      </w:r>
      <w:r w:rsidR="00630288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е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мных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работников, </w:t>
      </w:r>
      <w:r w:rsidR="00087783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индивидуальные предприниматели предпочитают работать самостоятельно, даже в сфере торговли. 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В тоже время</w:t>
      </w:r>
      <w:r w:rsidR="00087783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,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1/3 из опрошенных имеют незначительное количество работников, а порядка 20 </w:t>
      </w:r>
      <w:r w:rsidR="00C8120D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процентов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трудоустроили от 15 человек и более.</w:t>
      </w:r>
    </w:p>
    <w:p w:rsidR="00C30162" w:rsidRPr="00057DA5" w:rsidRDefault="00087783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Опрос показал,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что </w:t>
      </w:r>
      <w:proofErr w:type="spellStart"/>
      <w:proofErr w:type="gramStart"/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бо́льшая</w:t>
      </w:r>
      <w:proofErr w:type="spellEnd"/>
      <w:proofErr w:type="gramEnd"/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часть (61,5%) сохранили </w:t>
      </w:r>
      <w:r w:rsidR="00B125F1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штатную численность сотрудников,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</w:t>
      </w:r>
      <w:r w:rsidR="00207E14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</w:t>
      </w:r>
      <w:r w:rsidR="00B125F1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33 субъекта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сократили количество сотрудников, </w:t>
      </w:r>
      <w:r w:rsidR="00B125F1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а 10 организаций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смогли не только сохранить рабочие места, но и </w:t>
      </w:r>
      <w:r w:rsidR="00C8120D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создать новые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.</w:t>
      </w:r>
    </w:p>
    <w:p w:rsidR="00D82FD9" w:rsidRPr="00057DA5" w:rsidRDefault="00D82FD9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Сохранению бизнеса и рабочих мест способствовали меры государственной поддержки. 70% из числа респондентов воспользовались мерами финансовой поддержки</w:t>
      </w:r>
      <w:r w:rsidR="00886E4B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различного уровня</w:t>
      </w:r>
      <w:r w:rsidR="00207E14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.</w:t>
      </w:r>
      <w:r w:rsidR="00886E4B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 38 человек не воспользовались поддержкой</w:t>
      </w:r>
      <w:r w:rsidR="00207E14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(не требовалось, не подходили по критериям)</w:t>
      </w:r>
      <w:r w:rsidR="00886E4B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.</w:t>
      </w:r>
    </w:p>
    <w:p w:rsidR="00D82FD9" w:rsidRPr="00057DA5" w:rsidRDefault="00D82FD9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 Наиболее востребованн</w:t>
      </w:r>
      <w:r w:rsidR="00886E4B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ыми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оказались федеральные меры</w:t>
      </w:r>
      <w:r w:rsidR="007C1805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(компенсация расходов на оплату труда и средства индивидуальной защиты)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, так как они не имели ограничения по объему финансирования и, тем не менее, ими воспользовалось лишь 40% из числа опрошенных. По данным </w:t>
      </w:r>
      <w:r w:rsidR="00886E4B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М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ежрайонной </w:t>
      </w:r>
      <w:r w:rsidR="00886E4B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инспекции Федеральной налоговой службы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№ 4 по </w:t>
      </w:r>
      <w:r w:rsidR="00886E4B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Ханты-Мансийскому автономному округу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-Югре в целом по городу Югорску данной мерой поддержки воспользовались порядка 70% субъектов (17,4 млн. руб.).</w:t>
      </w:r>
    </w:p>
    <w:p w:rsidR="00C30162" w:rsidRPr="00057DA5" w:rsidRDefault="00C30162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Около 20% респондентов воспользовались региональными мерами (налоговое послабление по УСН и патенту, отсрочка арендной платы и пр.). </w:t>
      </w:r>
    </w:p>
    <w:p w:rsidR="00C30162" w:rsidRPr="00057DA5" w:rsidRDefault="00C30162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35% респондентов воспользовались муниципальными мерами поддержки.</w:t>
      </w:r>
    </w:p>
    <w:p w:rsidR="00C30162" w:rsidRPr="00057DA5" w:rsidRDefault="00C30162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Рейтинг наиболее популярных федеральных мер поддержки сформировался следующим образом</w:t>
      </w:r>
      <w:r w:rsidR="00886E4B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(по убыванию)</w:t>
      </w:r>
      <w:r w:rsidR="009D0E21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:</w:t>
      </w:r>
    </w:p>
    <w:p w:rsidR="00C30162" w:rsidRPr="00057DA5" w:rsidRDefault="003F7B32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-</w:t>
      </w:r>
      <w:r w:rsidR="009D0E21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с</w:t>
      </w:r>
      <w:r w:rsidR="004233E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убсидии на зарплату работникам;</w:t>
      </w:r>
    </w:p>
    <w:p w:rsidR="00C30162" w:rsidRPr="00057DA5" w:rsidRDefault="003F7B32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- 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с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нижен</w:t>
      </w:r>
      <w:r w:rsidR="004233E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ие тарифов по страховым взносам;</w:t>
      </w:r>
    </w:p>
    <w:p w:rsidR="00C30162" w:rsidRPr="00057DA5" w:rsidRDefault="003F7B32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- пр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одление срока уплаты налогов.</w:t>
      </w:r>
    </w:p>
    <w:p w:rsidR="00C30162" w:rsidRPr="00057DA5" w:rsidRDefault="00C30162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Из региональных мер поддержки наиболее популярными мерами стали:</w:t>
      </w:r>
    </w:p>
    <w:p w:rsidR="00C30162" w:rsidRPr="00057DA5" w:rsidRDefault="003F7B32" w:rsidP="007C1805">
      <w:pPr>
        <w:tabs>
          <w:tab w:val="left" w:pos="993"/>
        </w:tabs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- от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срочка по аренде</w:t>
      </w:r>
      <w:r w:rsidR="004233E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недвижимого имущества;</w:t>
      </w:r>
    </w:p>
    <w:p w:rsidR="00C30162" w:rsidRPr="00057DA5" w:rsidRDefault="004233E7" w:rsidP="007C1805">
      <w:pPr>
        <w:tabs>
          <w:tab w:val="left" w:pos="993"/>
        </w:tabs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- с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нижение налоговых 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платежей;</w:t>
      </w:r>
    </w:p>
    <w:p w:rsidR="00C30162" w:rsidRPr="00057DA5" w:rsidRDefault="004233E7" w:rsidP="007C1805">
      <w:pPr>
        <w:tabs>
          <w:tab w:val="left" w:pos="993"/>
        </w:tabs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- п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родление срока предоставления отчетности.</w:t>
      </w:r>
    </w:p>
    <w:p w:rsidR="00886E4B" w:rsidRPr="00057DA5" w:rsidRDefault="00886E4B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С 2021 года Единый налог на вмененный доход (ЕНВД), как специальный режим налогообложения был отменен, в  связи с этим возникла необходимость выяснить, на какие альтернативные системы налогообложения перешли предприниматели. </w:t>
      </w:r>
    </w:p>
    <w:p w:rsidR="00886E4B" w:rsidRPr="00057DA5" w:rsidRDefault="00886E4B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proofErr w:type="gramStart"/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Распределение по системам налогообложения показало следующую картину: около половины опрошенных уже применяли Упрощенную систему налогообложения (УСН), почти 1/3 находилась на патентах, незначительная доля (5,5%) применяли общую систему и 18,3% (21 субъект) платили ЕНВД.</w:t>
      </w:r>
      <w:proofErr w:type="gramEnd"/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Из опрошенных, кто ранее применял ЕНВД – 2 ушли в </w:t>
      </w:r>
      <w:proofErr w:type="spellStart"/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самозанятые</w:t>
      </w:r>
      <w:proofErr w:type="spellEnd"/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, по 9 человек выбрали патент и УСН.</w:t>
      </w:r>
    </w:p>
    <w:p w:rsidR="00C30162" w:rsidRPr="00057DA5" w:rsidRDefault="00C30162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lastRenderedPageBreak/>
        <w:t xml:space="preserve">Приостановление предпринимательской деятельности в 2020 году повлияло на снижение объема выручки, по сравнению с 2019 годом, почти </w:t>
      </w:r>
      <w:r w:rsidR="00886E4B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у 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80% респондентов. У 11% выручка осталась без изменений и лишь у 9% отмечается незначительный рост.</w:t>
      </w:r>
    </w:p>
    <w:p w:rsidR="003F712F" w:rsidRPr="00057DA5" w:rsidRDefault="00C30162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На вопрос: «Как Вы оцениваете персп</w:t>
      </w:r>
      <w:r w:rsidR="003718FD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ективы развития своего бизнеса»</w:t>
      </w:r>
      <w:r w:rsidR="003F712F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:</w:t>
      </w:r>
    </w:p>
    <w:p w:rsidR="00C30162" w:rsidRPr="00057DA5" w:rsidRDefault="00DC49C5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- </w:t>
      </w:r>
      <w:r w:rsidR="003718FD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о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птимистично </w:t>
      </w:r>
      <w:proofErr w:type="gramStart"/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настроен</w:t>
      </w:r>
      <w:r w:rsidR="003F712F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ы</w:t>
      </w:r>
      <w:proofErr w:type="gramEnd"/>
      <w:r w:rsidR="003F712F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чуть более 18,0% респондентов;</w:t>
      </w:r>
    </w:p>
    <w:p w:rsidR="00C30162" w:rsidRPr="00057DA5" w:rsidRDefault="00DC49C5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- </w:t>
      </w:r>
      <w:r w:rsidR="003F712F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н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е планируют существенных изменений или затрудн</w:t>
      </w:r>
      <w:r w:rsidR="003F712F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яются ответить 62,4% опрошенных;</w:t>
      </w:r>
    </w:p>
    <w:p w:rsidR="00C30162" w:rsidRPr="00057DA5" w:rsidRDefault="00DC49C5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- 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планируют реструктуризацию бизнеса  - 6,0%</w:t>
      </w:r>
      <w:r w:rsidR="00171026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;</w:t>
      </w:r>
    </w:p>
    <w:p w:rsidR="00C30162" w:rsidRPr="00057DA5" w:rsidRDefault="00DC49C5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- планируют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прекращени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е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предпринимательской деятельности около 13,0%.</w:t>
      </w:r>
    </w:p>
    <w:p w:rsidR="00886E4B" w:rsidRPr="00057DA5" w:rsidRDefault="00886E4B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Для </w:t>
      </w:r>
      <w:proofErr w:type="gramStart"/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бизнес-сообщества</w:t>
      </w:r>
      <w:proofErr w:type="gramEnd"/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2020 год запомнится, как самый сложный</w:t>
      </w:r>
      <w:r w:rsidR="00CF7B7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в их деятельности, основными проблемами, сдерживающими развитие предпринимательской деятельности респонденты обозначили:</w:t>
      </w:r>
    </w:p>
    <w:p w:rsidR="00C30162" w:rsidRPr="00057DA5" w:rsidRDefault="00171026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- п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адение покупательского спроса ввиду низкой плат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ежеспособности населения;</w:t>
      </w:r>
    </w:p>
    <w:p w:rsidR="00C30162" w:rsidRPr="00057DA5" w:rsidRDefault="00171026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- в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ысок</w:t>
      </w:r>
      <w:r w:rsidR="00CF7B7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ую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налогов</w:t>
      </w:r>
      <w:r w:rsidR="00CF7B7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ую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нагрузк</w:t>
      </w:r>
      <w:r w:rsidR="00CF7B7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у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, наряду с большим количеством отчетов и частыми изменения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ми в налоговом законодательстве;</w:t>
      </w:r>
    </w:p>
    <w:p w:rsidR="00C30162" w:rsidRPr="00057DA5" w:rsidRDefault="00171026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- н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едоступность</w:t>
      </w:r>
      <w:r w:rsidR="00727AAA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кредитных ресурсов (высокая процентная ставка)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;</w:t>
      </w:r>
    </w:p>
    <w:p w:rsidR="00C30162" w:rsidRPr="00057DA5" w:rsidRDefault="00171026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- в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ысокая стоимость аренды</w:t>
      </w:r>
      <w:r w:rsidR="00727AAA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коммерческой недвижимости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;</w:t>
      </w:r>
    </w:p>
    <w:p w:rsidR="00C30162" w:rsidRPr="00057DA5" w:rsidRDefault="00171026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- н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аличие федеральных сетей</w:t>
      </w:r>
      <w:r w:rsidR="00CF7B7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, как основного конкурента на потребительском рынке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.</w:t>
      </w:r>
    </w:p>
    <w:p w:rsidR="00C30162" w:rsidRPr="00057DA5" w:rsidRDefault="00C30162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Респондентами оценено взаимодействия органов власти и бизнеса. Около 60% из </w:t>
      </w:r>
      <w:proofErr w:type="gramStart"/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опрошенных</w:t>
      </w:r>
      <w:proofErr w:type="gramEnd"/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считают, что взаимодействие налажено на хорошем (удовлетворительном) уровне. Более 20% затрудняются ответить и около 20%, к сожале</w:t>
      </w:r>
      <w:r w:rsidR="00550E6A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нию, считают, что взаимодействие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отсутствует.</w:t>
      </w:r>
    </w:p>
    <w:p w:rsidR="005D15CF" w:rsidRPr="00057DA5" w:rsidRDefault="00CF7B77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Профессионализм и грамотность предпринимателей не маловажная движущая сила бизнеса. Основным организатором обучающих мероприятий в автономном округе является Фондом поддержки предпринимательства Югры (ФПП Югры). В 2020 году  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все, ранее запланированные 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ФПП Югры 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мероприятия, проводились на бесплатной основе в онлайн формате. </w:t>
      </w:r>
      <w:r w:rsidR="003F7B3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По мнению респондентов:</w:t>
      </w:r>
    </w:p>
    <w:p w:rsidR="005D15CF" w:rsidRPr="00057DA5" w:rsidRDefault="005D15CF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-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47% </w:t>
      </w:r>
      <w:r w:rsidR="003A45E3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и 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дал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ее </w:t>
      </w:r>
      <w:proofErr w:type="gramStart"/>
      <w:r w:rsidR="00B125F1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готовы</w:t>
      </w:r>
      <w:proofErr w:type="gramEnd"/>
      <w:r w:rsidR="00B125F1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обучаться в формате</w:t>
      </w:r>
      <w:r w:rsidR="00BC55BD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он</w:t>
      </w:r>
      <w:r w:rsidR="003A45E3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лайн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;</w:t>
      </w:r>
    </w:p>
    <w:p w:rsidR="00963A6B" w:rsidRPr="00057DA5" w:rsidRDefault="005D15CF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-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12% хотели бы обучаться </w:t>
      </w:r>
      <w:r w:rsidR="00B125F1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только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в очном формате</w:t>
      </w:r>
      <w:r w:rsidR="00963A6B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;</w:t>
      </w:r>
    </w:p>
    <w:p w:rsidR="00C30162" w:rsidRPr="00057DA5" w:rsidRDefault="00963A6B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-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более 41% </w:t>
      </w:r>
      <w:proofErr w:type="gramStart"/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опрошенных</w:t>
      </w:r>
      <w:proofErr w:type="gramEnd"/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 не хотят </w:t>
      </w:r>
      <w:r w:rsidR="00B125F1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вообще 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получать дополнительные знания.</w:t>
      </w:r>
    </w:p>
    <w:p w:rsidR="00C30162" w:rsidRPr="00057DA5" w:rsidRDefault="00AD1BA8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Таким образом, </w:t>
      </w:r>
      <w:proofErr w:type="spellStart"/>
      <w:proofErr w:type="gramStart"/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б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о</w:t>
      </w:r>
      <w:r w:rsidR="001E6432" w:rsidRPr="00057DA5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́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льшая</w:t>
      </w:r>
      <w:proofErr w:type="spellEnd"/>
      <w:proofErr w:type="gramEnd"/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часть респондентов проголосовали </w:t>
      </w:r>
      <w:r w:rsidR="00CF7B7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«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за</w:t>
      </w:r>
      <w:r w:rsidR="00CF7B7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»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обучение</w:t>
      </w:r>
      <w:r w:rsidR="00CF7B77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и обозначили приоритетные темы: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</w:t>
      </w:r>
    </w:p>
    <w:p w:rsidR="00C30162" w:rsidRPr="00057DA5" w:rsidRDefault="00E10C15" w:rsidP="007C1805">
      <w:pPr>
        <w:tabs>
          <w:tab w:val="left" w:pos="993"/>
        </w:tabs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- р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азвитие и продвижение бизнеса в </w:t>
      </w:r>
      <w:proofErr w:type="gramStart"/>
      <w:r w:rsidR="00B125F1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И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нтернете</w:t>
      </w:r>
      <w:proofErr w:type="gramEnd"/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и современные методы торговли;</w:t>
      </w:r>
    </w:p>
    <w:p w:rsidR="00C30162" w:rsidRPr="00057DA5" w:rsidRDefault="00E10C15" w:rsidP="007C1805">
      <w:pPr>
        <w:tabs>
          <w:tab w:val="left" w:pos="993"/>
        </w:tabs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- из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менения в налоговом и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бухгалтерском законодательстве;</w:t>
      </w:r>
    </w:p>
    <w:p w:rsidR="00C30162" w:rsidRPr="00057DA5" w:rsidRDefault="00E10C15" w:rsidP="007C1805">
      <w:pPr>
        <w:tabs>
          <w:tab w:val="left" w:pos="993"/>
        </w:tabs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- п</w:t>
      </w:r>
      <w:r w:rsidR="00C30162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овышение квалификации персонала.</w:t>
      </w:r>
    </w:p>
    <w:p w:rsidR="002065C8" w:rsidRPr="00057DA5" w:rsidRDefault="00C30162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По результату проведенного </w:t>
      </w:r>
      <w:r w:rsidR="00963A6B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опроса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можно сказать, что в </w:t>
      </w:r>
      <w:r w:rsidR="00963A6B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целом предприниматели выстояли 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сложный период, конечно не без потерь. </w:t>
      </w:r>
      <w:r w:rsidR="00B97308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Г</w:t>
      </w:r>
      <w:r w:rsidR="008B7FE3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осударство</w:t>
      </w:r>
      <w:r w:rsidR="00B97308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м был предложен</w:t>
      </w:r>
      <w:r w:rsidR="008B7FE3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широкий спектр мер поддержки</w:t>
      </w:r>
      <w:r w:rsidR="00B125F1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,</w:t>
      </w:r>
      <w:r w:rsidR="008B7FE3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как для начинающих предпринимателей, так и для уже работающ</w:t>
      </w:r>
      <w:r w:rsidR="0045599A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его</w:t>
      </w:r>
      <w:r w:rsidR="008B7FE3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бизнес</w:t>
      </w:r>
      <w:r w:rsidR="0045599A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а</w:t>
      </w:r>
      <w:r w:rsidR="008B7FE3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. </w:t>
      </w:r>
      <w:r w:rsidR="006476DA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Активные процессы </w:t>
      </w:r>
      <w:proofErr w:type="spellStart"/>
      <w:r w:rsidR="006476DA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цифровизации</w:t>
      </w:r>
      <w:proofErr w:type="spellEnd"/>
      <w:r w:rsidR="006476DA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при получении государственной поддержки в пандемию способствовали большей прозрачности бизнеса.</w:t>
      </w:r>
    </w:p>
    <w:p w:rsidR="006B5368" w:rsidRPr="00057DA5" w:rsidRDefault="005D7EB1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Государственная поддержка, и не только прямая финансовая, </w:t>
      </w:r>
      <w:r w:rsidR="006B5368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продолжает оставаться актуальной.</w:t>
      </w:r>
    </w:p>
    <w:p w:rsidR="006B5368" w:rsidRPr="00057DA5" w:rsidRDefault="006B5368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proofErr w:type="gramStart"/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На Петербургском международном экономическом форуме Президент Российской Федерации анонсировал новые меры поддержки малого и среднего бизнеса, среди которых — новый механизм поддержки кредитования,  когда Корпорация МСП будет выдавать поручительства по кредитам банков-партнеров</w:t>
      </w:r>
      <w:r w:rsidR="005D7EB1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,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обнуление комиссии в системе быстрых платежей, увеличение доли закупок у МСП до 25%, отмена НДС для предприятий общепита</w:t>
      </w:r>
      <w:r w:rsidR="005D7EB1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,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 </w:t>
      </w:r>
      <w:r w:rsidR="005D7EB1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освобождение малого и среднего бизнеса от избыточного антимонопольного контроля. </w:t>
      </w:r>
      <w:proofErr w:type="gramEnd"/>
    </w:p>
    <w:p w:rsidR="00C01AA2" w:rsidRPr="00057DA5" w:rsidRDefault="006476DA" w:rsidP="007C1805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theme="minorBidi"/>
          <w:bCs/>
          <w:sz w:val="26"/>
          <w:szCs w:val="26"/>
          <w:lang w:eastAsia="ar-SA"/>
        </w:rPr>
      </w:pPr>
      <w:r w:rsidRPr="00057DA5">
        <w:rPr>
          <w:rFonts w:ascii="PT Astra Serif" w:hAnsi="PT Astra Serif" w:cstheme="minorBidi"/>
          <w:bCs/>
          <w:sz w:val="26"/>
          <w:szCs w:val="26"/>
          <w:lang w:eastAsia="ar-SA"/>
        </w:rPr>
        <w:t>Малый бизнес в своем большинстве смог адаптироваться к кризисным условиям пандемии, но говорить о полном восстановлении еще преждевременно.</w:t>
      </w:r>
      <w:r w:rsidR="005D7EB1" w:rsidRPr="00057DA5">
        <w:rPr>
          <w:rFonts w:ascii="PT Astra Serif" w:hAnsi="PT Astra Serif" w:cstheme="minorBidi"/>
          <w:bCs/>
          <w:sz w:val="26"/>
          <w:szCs w:val="26"/>
          <w:lang w:eastAsia="ar-SA"/>
        </w:rPr>
        <w:t xml:space="preserve"> </w:t>
      </w:r>
      <w:r w:rsidR="005D7EB1" w:rsidRPr="00057DA5">
        <w:rPr>
          <w:rFonts w:ascii="PT Astra Serif" w:hAnsi="PT Astra Serif" w:cstheme="minorBidi"/>
          <w:bCs/>
          <w:sz w:val="26"/>
          <w:szCs w:val="26"/>
          <w:lang w:eastAsia="ar-SA"/>
        </w:rPr>
        <w:lastRenderedPageBreak/>
        <w:t>Общеэкономические последствия пандемии</w:t>
      </w:r>
      <w:r w:rsidR="00C01AA2" w:rsidRPr="00057DA5">
        <w:rPr>
          <w:rFonts w:ascii="PT Astra Serif" w:hAnsi="PT Astra Serif" w:cstheme="minorBidi"/>
          <w:bCs/>
          <w:sz w:val="26"/>
          <w:szCs w:val="26"/>
          <w:lang w:eastAsia="ar-SA"/>
        </w:rPr>
        <w:t xml:space="preserve">, </w:t>
      </w:r>
      <w:r w:rsidR="005D7EB1" w:rsidRPr="00057DA5">
        <w:rPr>
          <w:rFonts w:ascii="PT Astra Serif" w:hAnsi="PT Astra Serif" w:cstheme="minorBidi"/>
          <w:bCs/>
          <w:sz w:val="26"/>
          <w:szCs w:val="26"/>
          <w:lang w:eastAsia="ar-SA"/>
        </w:rPr>
        <w:t xml:space="preserve"> </w:t>
      </w:r>
      <w:r w:rsidR="00C01AA2" w:rsidRPr="00057DA5">
        <w:rPr>
          <w:rFonts w:ascii="PT Astra Serif" w:hAnsi="PT Astra Serif" w:cstheme="minorBidi"/>
          <w:bCs/>
          <w:sz w:val="26"/>
          <w:szCs w:val="26"/>
          <w:lang w:eastAsia="ar-SA"/>
        </w:rPr>
        <w:t>п</w:t>
      </w:r>
      <w:r w:rsidR="005D7EB1" w:rsidRPr="00057DA5">
        <w:rPr>
          <w:rFonts w:ascii="PT Astra Serif" w:hAnsi="PT Astra Serif" w:cstheme="minorBidi"/>
          <w:bCs/>
          <w:sz w:val="26"/>
          <w:szCs w:val="26"/>
          <w:lang w:eastAsia="ar-SA"/>
        </w:rPr>
        <w:t xml:space="preserve">адение реальных доходов населения, </w:t>
      </w:r>
      <w:r w:rsidR="00C01AA2" w:rsidRPr="00057DA5">
        <w:rPr>
          <w:rFonts w:ascii="PT Astra Serif" w:hAnsi="PT Astra Serif" w:cstheme="minorBidi"/>
          <w:bCs/>
          <w:sz w:val="26"/>
          <w:szCs w:val="26"/>
          <w:lang w:eastAsia="ar-SA"/>
        </w:rPr>
        <w:t xml:space="preserve">продолжающийся режим работы в условиях ограничительных мер, </w:t>
      </w:r>
      <w:r w:rsidR="005D7EB1" w:rsidRPr="00057DA5">
        <w:rPr>
          <w:rFonts w:ascii="PT Astra Serif" w:hAnsi="PT Astra Serif" w:cstheme="minorBidi"/>
          <w:bCs/>
          <w:sz w:val="26"/>
          <w:szCs w:val="26"/>
          <w:lang w:eastAsia="ar-SA"/>
        </w:rPr>
        <w:t>будут продолжать оказывать негативное влия</w:t>
      </w:r>
      <w:r w:rsidR="00C01AA2" w:rsidRPr="00057DA5">
        <w:rPr>
          <w:rFonts w:ascii="PT Astra Serif" w:hAnsi="PT Astra Serif" w:cstheme="minorBidi"/>
          <w:bCs/>
          <w:sz w:val="26"/>
          <w:szCs w:val="26"/>
          <w:lang w:eastAsia="ar-SA"/>
        </w:rPr>
        <w:t>н</w:t>
      </w:r>
      <w:r w:rsidR="005D7EB1" w:rsidRPr="00057DA5">
        <w:rPr>
          <w:rFonts w:ascii="PT Astra Serif" w:hAnsi="PT Astra Serif" w:cstheme="minorBidi"/>
          <w:bCs/>
          <w:sz w:val="26"/>
          <w:szCs w:val="26"/>
          <w:lang w:eastAsia="ar-SA"/>
        </w:rPr>
        <w:t xml:space="preserve">ие на деятельность </w:t>
      </w:r>
      <w:r w:rsidR="00C01AA2" w:rsidRPr="00057DA5">
        <w:rPr>
          <w:rFonts w:ascii="PT Astra Serif" w:hAnsi="PT Astra Serif" w:cstheme="minorBidi"/>
          <w:bCs/>
          <w:sz w:val="26"/>
          <w:szCs w:val="26"/>
          <w:lang w:eastAsia="ar-SA"/>
        </w:rPr>
        <w:t>субъектов МСП</w:t>
      </w:r>
      <w:r w:rsidR="005D7EB1" w:rsidRPr="00057DA5">
        <w:rPr>
          <w:rFonts w:ascii="PT Astra Serif" w:hAnsi="PT Astra Serif" w:cstheme="minorBidi"/>
          <w:bCs/>
          <w:sz w:val="26"/>
          <w:szCs w:val="26"/>
          <w:lang w:eastAsia="ar-SA"/>
        </w:rPr>
        <w:t xml:space="preserve"> в 2021 году</w:t>
      </w:r>
      <w:r w:rsidR="00C01AA2" w:rsidRPr="00057DA5">
        <w:rPr>
          <w:rFonts w:ascii="PT Astra Serif" w:hAnsi="PT Astra Serif" w:cstheme="minorBidi"/>
          <w:bCs/>
          <w:sz w:val="26"/>
          <w:szCs w:val="26"/>
          <w:lang w:eastAsia="ar-SA"/>
        </w:rPr>
        <w:t>.</w:t>
      </w:r>
      <w:r w:rsidR="005D7EB1" w:rsidRPr="00057DA5">
        <w:rPr>
          <w:rFonts w:ascii="PT Astra Serif" w:hAnsi="PT Astra Serif" w:cstheme="minorBidi"/>
          <w:bCs/>
          <w:sz w:val="26"/>
          <w:szCs w:val="26"/>
          <w:lang w:eastAsia="ar-SA"/>
        </w:rPr>
        <w:t xml:space="preserve"> </w:t>
      </w:r>
    </w:p>
    <w:p w:rsidR="002A7051" w:rsidRPr="00057DA5" w:rsidRDefault="006476DA" w:rsidP="007C1805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/>
          <w:bCs/>
          <w:sz w:val="26"/>
          <w:szCs w:val="26"/>
          <w:lang w:eastAsia="ar-SA"/>
        </w:rPr>
      </w:pPr>
      <w:r w:rsidRPr="00057DA5">
        <w:rPr>
          <w:rFonts w:ascii="PT Astra Serif" w:hAnsi="PT Astra Serif"/>
          <w:bCs/>
          <w:sz w:val="26"/>
          <w:szCs w:val="26"/>
          <w:lang w:eastAsia="ar-SA"/>
        </w:rPr>
        <w:t xml:space="preserve">  </w:t>
      </w:r>
      <w:r w:rsidR="00BF6125" w:rsidRPr="00057DA5">
        <w:rPr>
          <w:rFonts w:ascii="PT Astra Serif" w:hAnsi="PT Astra Serif"/>
          <w:bCs/>
          <w:sz w:val="26"/>
          <w:szCs w:val="26"/>
          <w:lang w:eastAsia="ar-SA"/>
        </w:rPr>
        <w:t xml:space="preserve">С помощью государственной поддержки, мобилизации собственных сил в условиях роста конкуренции, предпринимательство постепенно </w:t>
      </w:r>
      <w:r w:rsidR="00C30162" w:rsidRPr="00057DA5">
        <w:rPr>
          <w:rFonts w:ascii="PT Astra Serif" w:hAnsi="PT Astra Serif"/>
          <w:bCs/>
          <w:sz w:val="26"/>
          <w:szCs w:val="26"/>
          <w:lang w:eastAsia="ar-SA"/>
        </w:rPr>
        <w:t xml:space="preserve">вернется к привычным, </w:t>
      </w:r>
      <w:r w:rsidR="00BF6125" w:rsidRPr="00057DA5">
        <w:rPr>
          <w:rFonts w:ascii="PT Astra Serif" w:hAnsi="PT Astra Serif"/>
          <w:bCs/>
          <w:sz w:val="26"/>
          <w:szCs w:val="26"/>
          <w:lang w:eastAsia="ar-SA"/>
        </w:rPr>
        <w:t>до «кризисным»</w:t>
      </w:r>
      <w:r w:rsidR="00C30162" w:rsidRPr="00057DA5">
        <w:rPr>
          <w:rFonts w:ascii="PT Astra Serif" w:hAnsi="PT Astra Serif"/>
          <w:bCs/>
          <w:sz w:val="26"/>
          <w:szCs w:val="26"/>
          <w:lang w:eastAsia="ar-SA"/>
        </w:rPr>
        <w:t xml:space="preserve"> условиям ведения бизнеса.</w:t>
      </w:r>
    </w:p>
    <w:p w:rsidR="007C1805" w:rsidRDefault="007C1805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</w:p>
    <w:p w:rsidR="00057DA5" w:rsidRPr="00057DA5" w:rsidRDefault="00057DA5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</w:p>
    <w:p w:rsidR="002065C8" w:rsidRPr="00057DA5" w:rsidRDefault="002065C8" w:rsidP="007C1805">
      <w:pPr>
        <w:suppressAutoHyphens w:val="0"/>
        <w:rPr>
          <w:rFonts w:ascii="PT Astra Serif" w:eastAsia="Calibri" w:hAnsi="PT Astra Serif" w:cs="Times New Roman"/>
          <w:b/>
          <w:sz w:val="26"/>
          <w:szCs w:val="26"/>
        </w:rPr>
      </w:pPr>
      <w:proofErr w:type="spellStart"/>
      <w:r w:rsidRPr="00057DA5">
        <w:rPr>
          <w:rFonts w:ascii="PT Astra Serif" w:eastAsia="Calibri" w:hAnsi="PT Astra Serif" w:cs="Times New Roman"/>
          <w:b/>
          <w:sz w:val="26"/>
          <w:szCs w:val="26"/>
        </w:rPr>
        <w:t>Справочно</w:t>
      </w:r>
      <w:proofErr w:type="spellEnd"/>
      <w:r w:rsidRPr="00057DA5">
        <w:rPr>
          <w:rFonts w:ascii="PT Astra Serif" w:eastAsia="Calibri" w:hAnsi="PT Astra Serif" w:cs="Times New Roman"/>
          <w:b/>
          <w:sz w:val="26"/>
          <w:szCs w:val="26"/>
        </w:rPr>
        <w:t>:</w:t>
      </w:r>
    </w:p>
    <w:p w:rsidR="007C1805" w:rsidRDefault="007C1805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</w:p>
    <w:p w:rsidR="00E65F20" w:rsidRPr="00057DA5" w:rsidRDefault="00E65F20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В соответствии с </w:t>
      </w:r>
      <w:r w:rsidR="002065C8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Федеральным планом статистическ</w:t>
      </w: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их работ, органами государственной статистики проведено сплошное статистическое наблюдение за деятельностью субъектов МСП по итогам 2020 года. Целью сплошного наблюдения является формирование официальной статистической информации, содержащей комплексную и детализированную характеристику экономической деятельности хозяйствующих субъектов МСП, для улучшения качества социально-экономического прогнозирования и выработки мер по повышению эффективности функционирования российской экономики в целом и ее отдельных секторов в географическом распределении.</w:t>
      </w:r>
    </w:p>
    <w:p w:rsidR="002065C8" w:rsidRPr="00057DA5" w:rsidRDefault="00E65F20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Сбор первичных статистических данных по программе сплошного наблюдения проводился до 1 апреля 2021 года</w:t>
      </w:r>
    </w:p>
    <w:p w:rsidR="00E65F20" w:rsidRPr="00057DA5" w:rsidRDefault="00E65F20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Подведение и опубликование итогов сплошного наблюдения: предварительные - в декабре 2021 года, окончательные - в июне 2022 года.</w:t>
      </w:r>
    </w:p>
    <w:p w:rsidR="002065C8" w:rsidRPr="00057DA5" w:rsidRDefault="00E65F20" w:rsidP="007C1805">
      <w:pPr>
        <w:ind w:firstLine="567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bookmarkStart w:id="0" w:name="100033"/>
      <w:bookmarkEnd w:id="0"/>
      <w:r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В отсутствии официальных данных об основных экономических показателях администрацией города Югорска проведен анализ количества субъектов МСП в разрезе видов деятельность («лицо предпринимателя»)</w:t>
      </w:r>
      <w:r w:rsidR="00AE041E" w:rsidRPr="00057DA5">
        <w:rPr>
          <w:rFonts w:ascii="PT Astra Serif" w:eastAsia="Times New Roman" w:hAnsi="PT Astra Serif"/>
          <w:bCs/>
          <w:sz w:val="26"/>
          <w:szCs w:val="26"/>
          <w:lang w:eastAsia="ar-SA"/>
        </w:rPr>
        <w:t>:</w:t>
      </w:r>
    </w:p>
    <w:p w:rsidR="007C1805" w:rsidRDefault="007C1805" w:rsidP="007C1805">
      <w:pPr>
        <w:ind w:firstLine="567"/>
        <w:jc w:val="right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AE041E" w:rsidRDefault="006B5368" w:rsidP="007C1805">
      <w:pPr>
        <w:ind w:firstLine="567"/>
        <w:jc w:val="right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 w:rsidRPr="007C1805">
        <w:rPr>
          <w:rFonts w:ascii="PT Astra Serif" w:eastAsia="Times New Roman" w:hAnsi="PT Astra Serif"/>
          <w:bCs/>
          <w:sz w:val="28"/>
          <w:szCs w:val="28"/>
          <w:lang w:eastAsia="ar-SA"/>
        </w:rPr>
        <w:t>Таблица 1</w:t>
      </w:r>
    </w:p>
    <w:tbl>
      <w:tblPr>
        <w:tblStyle w:val="11"/>
        <w:tblW w:w="98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0"/>
        <w:gridCol w:w="2120"/>
        <w:gridCol w:w="709"/>
        <w:gridCol w:w="1276"/>
        <w:gridCol w:w="1417"/>
        <w:gridCol w:w="1360"/>
        <w:gridCol w:w="1192"/>
        <w:gridCol w:w="1276"/>
      </w:tblGrid>
      <w:tr w:rsidR="00AE041E" w:rsidRPr="0048052A" w:rsidTr="00B17C4E">
        <w:trPr>
          <w:trHeight w:val="6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041E" w:rsidRPr="0048052A" w:rsidRDefault="00AE041E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48052A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48052A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041E" w:rsidRPr="0048052A" w:rsidRDefault="00AE041E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ОКВЭД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1E" w:rsidRPr="0048052A" w:rsidRDefault="00AE041E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город Югорск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1E" w:rsidRPr="0048052A" w:rsidRDefault="00AE041E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в среднем по ХМАО-Югре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1E" w:rsidRPr="0048052A" w:rsidRDefault="00AE041E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Советский район</w:t>
            </w:r>
          </w:p>
          <w:p w:rsidR="00AE041E" w:rsidRPr="0048052A" w:rsidRDefault="00AE041E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1E" w:rsidRPr="0048052A" w:rsidRDefault="00AE041E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город Урай</w:t>
            </w:r>
          </w:p>
          <w:p w:rsidR="00AE041E" w:rsidRPr="0048052A" w:rsidRDefault="00AE041E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1E" w:rsidRPr="0048052A" w:rsidRDefault="00AE041E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 xml:space="preserve">город </w:t>
            </w:r>
            <w:proofErr w:type="spellStart"/>
            <w:r w:rsidRPr="0048052A">
              <w:rPr>
                <w:rFonts w:ascii="PT Astra Serif" w:hAnsi="PT Astra Serif"/>
                <w:sz w:val="20"/>
                <w:szCs w:val="20"/>
              </w:rPr>
              <w:t>Нягань</w:t>
            </w:r>
            <w:proofErr w:type="spellEnd"/>
          </w:p>
        </w:tc>
      </w:tr>
      <w:tr w:rsidR="00AE041E" w:rsidRPr="0048052A" w:rsidTr="00B17C4E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1E" w:rsidRPr="0048052A" w:rsidRDefault="00AE041E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1E" w:rsidRPr="0048052A" w:rsidRDefault="00AE041E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1E" w:rsidRPr="0048052A" w:rsidRDefault="00AE041E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кол-во МСП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1E" w:rsidRPr="0048052A" w:rsidRDefault="00AE041E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48052A">
              <w:rPr>
                <w:rFonts w:ascii="PT Astra Serif" w:hAnsi="PT Astra Serif"/>
                <w:sz w:val="20"/>
                <w:szCs w:val="20"/>
              </w:rPr>
              <w:t>в</w:t>
            </w:r>
            <w:proofErr w:type="gramEnd"/>
            <w:r w:rsidRPr="0048052A">
              <w:rPr>
                <w:rFonts w:ascii="PT Astra Serif" w:hAnsi="PT Astra Serif"/>
                <w:sz w:val="20"/>
                <w:szCs w:val="20"/>
              </w:rPr>
              <w:t xml:space="preserve"> % </w:t>
            </w:r>
            <w:proofErr w:type="gramStart"/>
            <w:r w:rsidRPr="0048052A">
              <w:rPr>
                <w:rFonts w:ascii="PT Astra Serif" w:hAnsi="PT Astra Serif"/>
                <w:sz w:val="20"/>
                <w:szCs w:val="20"/>
              </w:rPr>
              <w:t>от</w:t>
            </w:r>
            <w:proofErr w:type="gramEnd"/>
            <w:r w:rsidRPr="0048052A">
              <w:rPr>
                <w:rFonts w:ascii="PT Astra Serif" w:hAnsi="PT Astra Serif"/>
                <w:sz w:val="20"/>
                <w:szCs w:val="20"/>
              </w:rPr>
              <w:t xml:space="preserve"> общего количества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1E" w:rsidRPr="0048052A" w:rsidRDefault="00AE041E" w:rsidP="007C18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48052A">
              <w:rPr>
                <w:rFonts w:ascii="PT Astra Serif" w:hAnsi="PT Astra Serif"/>
                <w:sz w:val="20"/>
                <w:szCs w:val="20"/>
              </w:rPr>
              <w:t>в</w:t>
            </w:r>
            <w:proofErr w:type="gramEnd"/>
            <w:r w:rsidRPr="0048052A">
              <w:rPr>
                <w:rFonts w:ascii="PT Astra Serif" w:hAnsi="PT Astra Serif"/>
                <w:sz w:val="20"/>
                <w:szCs w:val="20"/>
              </w:rPr>
              <w:t xml:space="preserve"> % </w:t>
            </w:r>
            <w:proofErr w:type="gramStart"/>
            <w:r w:rsidRPr="0048052A">
              <w:rPr>
                <w:rFonts w:ascii="PT Astra Serif" w:hAnsi="PT Astra Serif"/>
                <w:sz w:val="20"/>
                <w:szCs w:val="20"/>
              </w:rPr>
              <w:t>от</w:t>
            </w:r>
            <w:proofErr w:type="gramEnd"/>
            <w:r w:rsidRPr="0048052A">
              <w:rPr>
                <w:rFonts w:ascii="PT Astra Serif" w:hAnsi="PT Astra Serif"/>
                <w:sz w:val="20"/>
                <w:szCs w:val="20"/>
              </w:rPr>
              <w:t xml:space="preserve"> общего количества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1E" w:rsidRPr="0048052A" w:rsidRDefault="00AE041E" w:rsidP="007C18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48052A">
              <w:rPr>
                <w:rFonts w:ascii="PT Astra Serif" w:hAnsi="PT Astra Serif"/>
                <w:sz w:val="20"/>
                <w:szCs w:val="20"/>
              </w:rPr>
              <w:t>в</w:t>
            </w:r>
            <w:proofErr w:type="gramEnd"/>
            <w:r w:rsidRPr="0048052A">
              <w:rPr>
                <w:rFonts w:ascii="PT Astra Serif" w:hAnsi="PT Astra Serif"/>
                <w:sz w:val="20"/>
                <w:szCs w:val="20"/>
              </w:rPr>
              <w:t xml:space="preserve"> % </w:t>
            </w:r>
            <w:proofErr w:type="gramStart"/>
            <w:r w:rsidRPr="0048052A">
              <w:rPr>
                <w:rFonts w:ascii="PT Astra Serif" w:hAnsi="PT Astra Serif"/>
                <w:sz w:val="20"/>
                <w:szCs w:val="20"/>
              </w:rPr>
              <w:t>от</w:t>
            </w:r>
            <w:proofErr w:type="gramEnd"/>
            <w:r w:rsidRPr="0048052A">
              <w:rPr>
                <w:rFonts w:ascii="PT Astra Serif" w:hAnsi="PT Astra Serif"/>
                <w:sz w:val="20"/>
                <w:szCs w:val="20"/>
              </w:rPr>
              <w:t xml:space="preserve"> общего количества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1E" w:rsidRPr="0048052A" w:rsidRDefault="00AE041E" w:rsidP="007C18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48052A">
              <w:rPr>
                <w:rFonts w:ascii="PT Astra Serif" w:hAnsi="PT Astra Serif"/>
                <w:sz w:val="20"/>
                <w:szCs w:val="20"/>
              </w:rPr>
              <w:t>в</w:t>
            </w:r>
            <w:proofErr w:type="gramEnd"/>
            <w:r w:rsidRPr="0048052A">
              <w:rPr>
                <w:rFonts w:ascii="PT Astra Serif" w:hAnsi="PT Astra Serif"/>
                <w:sz w:val="20"/>
                <w:szCs w:val="20"/>
              </w:rPr>
              <w:t xml:space="preserve"> % </w:t>
            </w:r>
            <w:proofErr w:type="gramStart"/>
            <w:r w:rsidRPr="0048052A">
              <w:rPr>
                <w:rFonts w:ascii="PT Astra Serif" w:hAnsi="PT Astra Serif"/>
                <w:sz w:val="20"/>
                <w:szCs w:val="20"/>
              </w:rPr>
              <w:t>от</w:t>
            </w:r>
            <w:proofErr w:type="gramEnd"/>
            <w:r w:rsidRPr="0048052A">
              <w:rPr>
                <w:rFonts w:ascii="PT Astra Serif" w:hAnsi="PT Astra Serif"/>
                <w:sz w:val="20"/>
                <w:szCs w:val="20"/>
              </w:rPr>
              <w:t xml:space="preserve"> общего количества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1E" w:rsidRPr="0048052A" w:rsidRDefault="00AE041E" w:rsidP="007C18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48052A">
              <w:rPr>
                <w:rFonts w:ascii="PT Astra Serif" w:hAnsi="PT Astra Serif"/>
                <w:sz w:val="20"/>
                <w:szCs w:val="20"/>
              </w:rPr>
              <w:t>в</w:t>
            </w:r>
            <w:proofErr w:type="gramEnd"/>
            <w:r w:rsidRPr="0048052A">
              <w:rPr>
                <w:rFonts w:ascii="PT Astra Serif" w:hAnsi="PT Astra Serif"/>
                <w:sz w:val="20"/>
                <w:szCs w:val="20"/>
              </w:rPr>
              <w:t xml:space="preserve"> % </w:t>
            </w:r>
            <w:proofErr w:type="gramStart"/>
            <w:r w:rsidRPr="0048052A">
              <w:rPr>
                <w:rFonts w:ascii="PT Astra Serif" w:hAnsi="PT Astra Serif"/>
                <w:sz w:val="20"/>
                <w:szCs w:val="20"/>
              </w:rPr>
              <w:t>от</w:t>
            </w:r>
            <w:proofErr w:type="gramEnd"/>
            <w:r w:rsidRPr="0048052A">
              <w:rPr>
                <w:rFonts w:ascii="PT Astra Serif" w:hAnsi="PT Astra Serif"/>
                <w:sz w:val="20"/>
                <w:szCs w:val="20"/>
              </w:rPr>
              <w:t xml:space="preserve"> общего количества</w:t>
            </w:r>
          </w:p>
        </w:tc>
      </w:tr>
      <w:tr w:rsidR="0048052A" w:rsidRPr="0048052A" w:rsidTr="00B17C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48052A" w:rsidRDefault="0048052A" w:rsidP="007C1805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48052A" w:rsidRDefault="0048052A" w:rsidP="007C1805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1,6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7,0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1,8</w:t>
            </w:r>
          </w:p>
        </w:tc>
      </w:tr>
      <w:tr w:rsidR="0048052A" w:rsidRPr="0048052A" w:rsidTr="00B17C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48052A" w:rsidRDefault="0048052A" w:rsidP="007C1805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48052A" w:rsidRDefault="0048052A" w:rsidP="007C1805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4,5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6,2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4,5</w:t>
            </w:r>
          </w:p>
        </w:tc>
      </w:tr>
      <w:tr w:rsidR="0048052A" w:rsidRPr="0048052A" w:rsidTr="00B17C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48052A" w:rsidRDefault="0048052A" w:rsidP="007C1805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48052A" w:rsidRDefault="0048052A" w:rsidP="007C1805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0,5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0,4</w:t>
            </w:r>
          </w:p>
        </w:tc>
      </w:tr>
      <w:tr w:rsidR="0048052A" w:rsidRPr="0048052A" w:rsidTr="00B17C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48052A" w:rsidRDefault="0048052A" w:rsidP="007C1805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48052A" w:rsidRDefault="0048052A" w:rsidP="007C1805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9,9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11,2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10,58</w:t>
            </w:r>
          </w:p>
        </w:tc>
      </w:tr>
      <w:tr w:rsidR="0048052A" w:rsidRPr="0048052A" w:rsidTr="00B17C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48052A" w:rsidRDefault="0048052A" w:rsidP="007C1805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5.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48052A" w:rsidRDefault="0048052A" w:rsidP="007C1805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30,1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29,9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32,2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26,3</w:t>
            </w:r>
          </w:p>
        </w:tc>
      </w:tr>
      <w:tr w:rsidR="0048052A" w:rsidRPr="0048052A" w:rsidTr="00B17C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48052A" w:rsidRDefault="0048052A" w:rsidP="007C1805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6.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48052A" w:rsidRDefault="0048052A" w:rsidP="007C1805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17,2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9,9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21,6</w:t>
            </w:r>
          </w:p>
        </w:tc>
      </w:tr>
      <w:tr w:rsidR="0048052A" w:rsidRPr="0048052A" w:rsidTr="00B17C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48052A" w:rsidRDefault="0048052A" w:rsidP="007C1805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7.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48052A" w:rsidRDefault="0048052A" w:rsidP="007C1805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3,8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3,9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3,6</w:t>
            </w:r>
          </w:p>
        </w:tc>
      </w:tr>
      <w:tr w:rsidR="0048052A" w:rsidRPr="0048052A" w:rsidTr="00B17C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48052A" w:rsidRDefault="0048052A" w:rsidP="007C1805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lastRenderedPageBreak/>
              <w:t>8.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48052A" w:rsidRDefault="0048052A" w:rsidP="007C1805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2,3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2,3</w:t>
            </w:r>
          </w:p>
        </w:tc>
      </w:tr>
      <w:tr w:rsidR="0048052A" w:rsidRPr="0048052A" w:rsidTr="00B17C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48052A" w:rsidRDefault="0048052A" w:rsidP="007C1805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9.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48052A" w:rsidRDefault="0048052A" w:rsidP="007C1805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5,4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4,9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4,5</w:t>
            </w:r>
          </w:p>
        </w:tc>
      </w:tr>
      <w:tr w:rsidR="0048052A" w:rsidRPr="0048052A" w:rsidTr="00B17C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48052A" w:rsidRDefault="0048052A" w:rsidP="007C1805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10.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48052A" w:rsidRDefault="0048052A" w:rsidP="007C1805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Деятельность профессиональная</w:t>
            </w:r>
            <w:r w:rsidR="00AE041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48052A">
              <w:rPr>
                <w:rFonts w:ascii="PT Astra Serif" w:hAnsi="PT Astra Serif"/>
                <w:sz w:val="20"/>
                <w:szCs w:val="20"/>
              </w:rPr>
              <w:t>научная и техническая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7,2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5,4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5,4</w:t>
            </w:r>
          </w:p>
        </w:tc>
      </w:tr>
      <w:tr w:rsidR="0048052A" w:rsidRPr="0048052A" w:rsidTr="00B17C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48052A" w:rsidRDefault="0048052A" w:rsidP="007C1805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11.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48052A" w:rsidRDefault="0048052A" w:rsidP="007C1805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4,2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3,1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3,5</w:t>
            </w:r>
          </w:p>
        </w:tc>
      </w:tr>
      <w:tr w:rsidR="0048052A" w:rsidRPr="0048052A" w:rsidTr="00B17C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48052A" w:rsidRDefault="0048052A" w:rsidP="007C1805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12.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48052A" w:rsidRDefault="0048052A" w:rsidP="007C1805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1,4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1,6</w:t>
            </w:r>
          </w:p>
        </w:tc>
      </w:tr>
      <w:tr w:rsidR="0048052A" w:rsidRPr="0048052A" w:rsidTr="00B17C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48052A" w:rsidRDefault="0048052A" w:rsidP="007C1805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13.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48052A" w:rsidRDefault="0048052A" w:rsidP="007C1805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1,6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2,5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1,8</w:t>
            </w:r>
          </w:p>
        </w:tc>
      </w:tr>
      <w:tr w:rsidR="0048052A" w:rsidRPr="0048052A" w:rsidTr="00B17C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48052A" w:rsidRDefault="0048052A" w:rsidP="007C1805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14.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48052A" w:rsidRDefault="0048052A" w:rsidP="007C1805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1,3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</w:tr>
      <w:tr w:rsidR="0048052A" w:rsidRPr="0048052A" w:rsidTr="00B17C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48052A" w:rsidRDefault="0048052A" w:rsidP="007C1805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15.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2A" w:rsidRPr="0048052A" w:rsidRDefault="0048052A" w:rsidP="007C1805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6,9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6,9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2A" w:rsidRPr="0048052A" w:rsidRDefault="0048052A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7,5</w:t>
            </w:r>
          </w:p>
        </w:tc>
      </w:tr>
    </w:tbl>
    <w:p w:rsidR="005218E9" w:rsidRPr="005218E9" w:rsidRDefault="005218E9" w:rsidP="007C1805">
      <w:pPr>
        <w:suppressAutoHyphens w:val="0"/>
        <w:ind w:firstLine="567"/>
        <w:rPr>
          <w:rFonts w:ascii="PT Astra Serif" w:eastAsia="Calibri" w:hAnsi="PT Astra Serif" w:cs="Times New Roman"/>
          <w:szCs w:val="24"/>
        </w:rPr>
      </w:pPr>
    </w:p>
    <w:p w:rsidR="005218E9" w:rsidRPr="00E0514B" w:rsidRDefault="00AE041E" w:rsidP="007C1805">
      <w:pPr>
        <w:suppressAutoHyphens w:val="0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E0514B">
        <w:rPr>
          <w:rFonts w:ascii="PT Astra Serif" w:eastAsia="Calibri" w:hAnsi="PT Astra Serif" w:cs="Times New Roman"/>
          <w:sz w:val="26"/>
          <w:szCs w:val="26"/>
        </w:rPr>
        <w:t xml:space="preserve">Из таблицы наглядно видно, что </w:t>
      </w:r>
      <w:r w:rsidR="00762202" w:rsidRPr="00E0514B">
        <w:rPr>
          <w:rFonts w:ascii="PT Astra Serif" w:eastAsia="Calibri" w:hAnsi="PT Astra Serif" w:cs="Times New Roman"/>
          <w:sz w:val="26"/>
          <w:szCs w:val="26"/>
        </w:rPr>
        <w:t xml:space="preserve">в разрезе видов осуществляемой деятельности предпринимательское сообщество мало отличается от соседних территорий. Можно отметить, что в Югорске </w:t>
      </w:r>
      <w:r w:rsidR="00303CBA" w:rsidRPr="00E0514B">
        <w:rPr>
          <w:rFonts w:ascii="PT Astra Serif" w:eastAsia="Calibri" w:hAnsi="PT Astra Serif" w:cs="Times New Roman"/>
          <w:sz w:val="26"/>
          <w:szCs w:val="26"/>
        </w:rPr>
        <w:t>больше, чем в соседних муниципалитетах,  предпринимателей работающих в сферах</w:t>
      </w:r>
      <w:r w:rsidR="00762202" w:rsidRPr="00E0514B">
        <w:rPr>
          <w:rFonts w:ascii="PT Astra Serif" w:eastAsia="Calibri" w:hAnsi="PT Astra Serif" w:cs="Times New Roman"/>
          <w:sz w:val="26"/>
          <w:szCs w:val="26"/>
        </w:rPr>
        <w:t xml:space="preserve"> «Образование»</w:t>
      </w:r>
      <w:r w:rsidR="00303CBA" w:rsidRPr="00E0514B">
        <w:rPr>
          <w:rFonts w:ascii="PT Astra Serif" w:eastAsia="Calibri" w:hAnsi="PT Astra Serif" w:cs="Times New Roman"/>
          <w:sz w:val="26"/>
          <w:szCs w:val="26"/>
        </w:rPr>
        <w:t>, «Здравоохранение», «Деятельность гостиниц и предприятий общественного питания».</w:t>
      </w:r>
      <w:r w:rsidR="00582FA4" w:rsidRPr="00E0514B">
        <w:rPr>
          <w:rFonts w:ascii="PT Astra Serif" w:eastAsia="Calibri" w:hAnsi="PT Astra Serif" w:cs="Times New Roman"/>
          <w:sz w:val="26"/>
          <w:szCs w:val="26"/>
        </w:rPr>
        <w:t xml:space="preserve"> Виды деятельности сферы промышленности малопривлекательны и развиваются медленными темпами.  О</w:t>
      </w:r>
      <w:r w:rsidR="005218E9" w:rsidRPr="00E0514B">
        <w:rPr>
          <w:rFonts w:ascii="PT Astra Serif" w:eastAsia="Calibri" w:hAnsi="PT Astra Serif" w:cs="Times New Roman"/>
          <w:sz w:val="26"/>
          <w:szCs w:val="26"/>
        </w:rPr>
        <w:t>тдаленность нашего региона от центральной полосы России усложняет логистику и, как следствие</w:t>
      </w:r>
      <w:r w:rsidR="00582FA4" w:rsidRPr="00E0514B">
        <w:rPr>
          <w:rFonts w:ascii="PT Astra Serif" w:eastAsia="Calibri" w:hAnsi="PT Astra Serif" w:cs="Times New Roman"/>
          <w:sz w:val="26"/>
          <w:szCs w:val="26"/>
        </w:rPr>
        <w:t>,</w:t>
      </w:r>
      <w:r w:rsidR="005218E9" w:rsidRPr="00E0514B">
        <w:rPr>
          <w:rFonts w:ascii="PT Astra Serif" w:eastAsia="Calibri" w:hAnsi="PT Astra Serif" w:cs="Times New Roman"/>
          <w:sz w:val="26"/>
          <w:szCs w:val="26"/>
        </w:rPr>
        <w:t xml:space="preserve"> сказывается на </w:t>
      </w:r>
      <w:r w:rsidR="00582FA4" w:rsidRPr="00E0514B">
        <w:rPr>
          <w:rFonts w:ascii="PT Astra Serif" w:eastAsia="Calibri" w:hAnsi="PT Astra Serif" w:cs="Times New Roman"/>
          <w:sz w:val="26"/>
          <w:szCs w:val="26"/>
        </w:rPr>
        <w:t xml:space="preserve">высокой </w:t>
      </w:r>
      <w:r w:rsidR="005218E9" w:rsidRPr="00E0514B">
        <w:rPr>
          <w:rFonts w:ascii="PT Astra Serif" w:eastAsia="Calibri" w:hAnsi="PT Astra Serif" w:cs="Times New Roman"/>
          <w:sz w:val="26"/>
          <w:szCs w:val="26"/>
        </w:rPr>
        <w:t xml:space="preserve">себестоимости </w:t>
      </w:r>
      <w:r w:rsidR="00743D74" w:rsidRPr="00E0514B">
        <w:rPr>
          <w:rFonts w:ascii="PT Astra Serif" w:eastAsia="Calibri" w:hAnsi="PT Astra Serif" w:cs="Times New Roman"/>
          <w:sz w:val="26"/>
          <w:szCs w:val="26"/>
        </w:rPr>
        <w:t xml:space="preserve">  </w:t>
      </w:r>
      <w:r w:rsidR="005218E9" w:rsidRPr="00E0514B">
        <w:rPr>
          <w:rFonts w:ascii="PT Astra Serif" w:eastAsia="Calibri" w:hAnsi="PT Astra Serif" w:cs="Times New Roman"/>
          <w:sz w:val="26"/>
          <w:szCs w:val="26"/>
        </w:rPr>
        <w:t xml:space="preserve">и конкурентоспособности производимой продукции. </w:t>
      </w:r>
      <w:r w:rsidR="00743D74" w:rsidRPr="00E0514B">
        <w:rPr>
          <w:rFonts w:ascii="PT Astra Serif" w:eastAsia="Calibri" w:hAnsi="PT Astra Serif" w:cs="Times New Roman"/>
          <w:sz w:val="26"/>
          <w:szCs w:val="26"/>
        </w:rPr>
        <w:t xml:space="preserve"> Как и в других муниципалитетах более привлекательна для открытия бизнеса сфера предоставления усл</w:t>
      </w:r>
      <w:r w:rsidR="00BF6125" w:rsidRPr="00E0514B">
        <w:rPr>
          <w:rFonts w:ascii="PT Astra Serif" w:eastAsia="Calibri" w:hAnsi="PT Astra Serif" w:cs="Times New Roman"/>
          <w:sz w:val="26"/>
          <w:szCs w:val="26"/>
        </w:rPr>
        <w:t>уг</w:t>
      </w:r>
      <w:r w:rsidR="00743D74" w:rsidRPr="00E0514B">
        <w:rPr>
          <w:rFonts w:ascii="PT Astra Serif" w:eastAsia="Calibri" w:hAnsi="PT Astra Serif" w:cs="Times New Roman"/>
          <w:sz w:val="26"/>
          <w:szCs w:val="26"/>
        </w:rPr>
        <w:t>.</w:t>
      </w:r>
    </w:p>
    <w:p w:rsidR="005218E9" w:rsidRDefault="006B5368" w:rsidP="007C1805">
      <w:pPr>
        <w:suppressAutoHyphens w:val="0"/>
        <w:ind w:firstLine="567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7C1805">
        <w:rPr>
          <w:rFonts w:ascii="PT Astra Serif" w:eastAsia="Calibri" w:hAnsi="PT Astra Serif" w:cs="Times New Roman"/>
          <w:sz w:val="28"/>
          <w:szCs w:val="28"/>
        </w:rPr>
        <w:t>Таблица 2</w:t>
      </w:r>
    </w:p>
    <w:tbl>
      <w:tblPr>
        <w:tblStyle w:val="11"/>
        <w:tblW w:w="98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0"/>
        <w:gridCol w:w="1836"/>
        <w:gridCol w:w="992"/>
        <w:gridCol w:w="1276"/>
        <w:gridCol w:w="1417"/>
        <w:gridCol w:w="1360"/>
        <w:gridCol w:w="1192"/>
        <w:gridCol w:w="1275"/>
      </w:tblGrid>
      <w:tr w:rsidR="00743D74" w:rsidRPr="0048052A" w:rsidTr="00EA2530">
        <w:trPr>
          <w:trHeight w:val="6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3D74" w:rsidRPr="0048052A" w:rsidRDefault="00743D74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48052A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48052A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3D74" w:rsidRPr="0048052A" w:rsidRDefault="00743D74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ОКВЭД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74" w:rsidRPr="0048052A" w:rsidRDefault="00743D74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город Югорск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D74" w:rsidRPr="0048052A" w:rsidRDefault="00743D74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в среднем по ХМАО-Югре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D74" w:rsidRPr="0048052A" w:rsidRDefault="00743D74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Советский район</w:t>
            </w:r>
          </w:p>
          <w:p w:rsidR="00743D74" w:rsidRPr="0048052A" w:rsidRDefault="00743D74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D74" w:rsidRPr="0048052A" w:rsidRDefault="00743D74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город Урай</w:t>
            </w:r>
          </w:p>
          <w:p w:rsidR="00743D74" w:rsidRPr="0048052A" w:rsidRDefault="00743D74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D74" w:rsidRPr="0048052A" w:rsidRDefault="00743D74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 xml:space="preserve">город </w:t>
            </w:r>
            <w:proofErr w:type="spellStart"/>
            <w:r w:rsidRPr="0048052A">
              <w:rPr>
                <w:rFonts w:ascii="PT Astra Serif" w:hAnsi="PT Astra Serif"/>
                <w:sz w:val="20"/>
                <w:szCs w:val="20"/>
              </w:rPr>
              <w:t>Нягань</w:t>
            </w:r>
            <w:proofErr w:type="spellEnd"/>
          </w:p>
        </w:tc>
      </w:tr>
      <w:tr w:rsidR="00743D74" w:rsidRPr="0048052A" w:rsidTr="00EA2530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74" w:rsidRPr="0048052A" w:rsidRDefault="00743D74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74" w:rsidRPr="0048052A" w:rsidRDefault="00743D74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74" w:rsidRPr="0048052A" w:rsidRDefault="00743D74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кол-во МСП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74" w:rsidRPr="0048052A" w:rsidRDefault="00743D74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48052A">
              <w:rPr>
                <w:rFonts w:ascii="PT Astra Serif" w:hAnsi="PT Astra Serif"/>
                <w:sz w:val="20"/>
                <w:szCs w:val="20"/>
              </w:rPr>
              <w:t>в</w:t>
            </w:r>
            <w:proofErr w:type="gramEnd"/>
            <w:r w:rsidRPr="0048052A">
              <w:rPr>
                <w:rFonts w:ascii="PT Astra Serif" w:hAnsi="PT Astra Serif"/>
                <w:sz w:val="20"/>
                <w:szCs w:val="20"/>
              </w:rPr>
              <w:t xml:space="preserve"> % </w:t>
            </w:r>
            <w:proofErr w:type="gramStart"/>
            <w:r w:rsidRPr="0048052A">
              <w:rPr>
                <w:rFonts w:ascii="PT Astra Serif" w:hAnsi="PT Astra Serif"/>
                <w:sz w:val="20"/>
                <w:szCs w:val="20"/>
              </w:rPr>
              <w:t>от</w:t>
            </w:r>
            <w:proofErr w:type="gramEnd"/>
            <w:r w:rsidRPr="0048052A">
              <w:rPr>
                <w:rFonts w:ascii="PT Astra Serif" w:hAnsi="PT Astra Serif"/>
                <w:sz w:val="20"/>
                <w:szCs w:val="20"/>
              </w:rPr>
              <w:t xml:space="preserve"> общего количества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74" w:rsidRPr="0048052A" w:rsidRDefault="00743D74" w:rsidP="007C18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48052A">
              <w:rPr>
                <w:rFonts w:ascii="PT Astra Serif" w:hAnsi="PT Astra Serif"/>
                <w:sz w:val="20"/>
                <w:szCs w:val="20"/>
              </w:rPr>
              <w:t>в</w:t>
            </w:r>
            <w:proofErr w:type="gramEnd"/>
            <w:r w:rsidRPr="0048052A">
              <w:rPr>
                <w:rFonts w:ascii="PT Astra Serif" w:hAnsi="PT Astra Serif"/>
                <w:sz w:val="20"/>
                <w:szCs w:val="20"/>
              </w:rPr>
              <w:t xml:space="preserve"> % </w:t>
            </w:r>
            <w:proofErr w:type="gramStart"/>
            <w:r w:rsidRPr="0048052A">
              <w:rPr>
                <w:rFonts w:ascii="PT Astra Serif" w:hAnsi="PT Astra Serif"/>
                <w:sz w:val="20"/>
                <w:szCs w:val="20"/>
              </w:rPr>
              <w:t>от</w:t>
            </w:r>
            <w:proofErr w:type="gramEnd"/>
            <w:r w:rsidRPr="0048052A">
              <w:rPr>
                <w:rFonts w:ascii="PT Astra Serif" w:hAnsi="PT Astra Serif"/>
                <w:sz w:val="20"/>
                <w:szCs w:val="20"/>
              </w:rPr>
              <w:t xml:space="preserve"> общего количества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74" w:rsidRPr="0048052A" w:rsidRDefault="00743D74" w:rsidP="007C18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48052A">
              <w:rPr>
                <w:rFonts w:ascii="PT Astra Serif" w:hAnsi="PT Astra Serif"/>
                <w:sz w:val="20"/>
                <w:szCs w:val="20"/>
              </w:rPr>
              <w:t>в</w:t>
            </w:r>
            <w:proofErr w:type="gramEnd"/>
            <w:r w:rsidRPr="0048052A">
              <w:rPr>
                <w:rFonts w:ascii="PT Astra Serif" w:hAnsi="PT Astra Serif"/>
                <w:sz w:val="20"/>
                <w:szCs w:val="20"/>
              </w:rPr>
              <w:t xml:space="preserve"> % </w:t>
            </w:r>
            <w:proofErr w:type="gramStart"/>
            <w:r w:rsidRPr="0048052A">
              <w:rPr>
                <w:rFonts w:ascii="PT Astra Serif" w:hAnsi="PT Astra Serif"/>
                <w:sz w:val="20"/>
                <w:szCs w:val="20"/>
              </w:rPr>
              <w:t>от</w:t>
            </w:r>
            <w:proofErr w:type="gramEnd"/>
            <w:r w:rsidRPr="0048052A">
              <w:rPr>
                <w:rFonts w:ascii="PT Astra Serif" w:hAnsi="PT Astra Serif"/>
                <w:sz w:val="20"/>
                <w:szCs w:val="20"/>
              </w:rPr>
              <w:t xml:space="preserve"> общего количества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74" w:rsidRPr="0048052A" w:rsidRDefault="00743D74" w:rsidP="007C18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48052A">
              <w:rPr>
                <w:rFonts w:ascii="PT Astra Serif" w:hAnsi="PT Astra Serif"/>
                <w:sz w:val="20"/>
                <w:szCs w:val="20"/>
              </w:rPr>
              <w:t>в</w:t>
            </w:r>
            <w:proofErr w:type="gramEnd"/>
            <w:r w:rsidRPr="0048052A">
              <w:rPr>
                <w:rFonts w:ascii="PT Astra Serif" w:hAnsi="PT Astra Serif"/>
                <w:sz w:val="20"/>
                <w:szCs w:val="20"/>
              </w:rPr>
              <w:t xml:space="preserve"> % </w:t>
            </w:r>
            <w:proofErr w:type="gramStart"/>
            <w:r w:rsidRPr="0048052A">
              <w:rPr>
                <w:rFonts w:ascii="PT Astra Serif" w:hAnsi="PT Astra Serif"/>
                <w:sz w:val="20"/>
                <w:szCs w:val="20"/>
              </w:rPr>
              <w:t>от</w:t>
            </w:r>
            <w:proofErr w:type="gramEnd"/>
            <w:r w:rsidRPr="0048052A">
              <w:rPr>
                <w:rFonts w:ascii="PT Astra Serif" w:hAnsi="PT Astra Serif"/>
                <w:sz w:val="20"/>
                <w:szCs w:val="20"/>
              </w:rPr>
              <w:t xml:space="preserve"> общего количества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74" w:rsidRPr="0048052A" w:rsidRDefault="00743D74" w:rsidP="007C18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48052A">
              <w:rPr>
                <w:rFonts w:ascii="PT Astra Serif" w:hAnsi="PT Astra Serif"/>
                <w:sz w:val="20"/>
                <w:szCs w:val="20"/>
              </w:rPr>
              <w:t>в</w:t>
            </w:r>
            <w:proofErr w:type="gramEnd"/>
            <w:r w:rsidRPr="0048052A">
              <w:rPr>
                <w:rFonts w:ascii="PT Astra Serif" w:hAnsi="PT Astra Serif"/>
                <w:sz w:val="20"/>
                <w:szCs w:val="20"/>
              </w:rPr>
              <w:t xml:space="preserve"> % </w:t>
            </w:r>
            <w:proofErr w:type="gramStart"/>
            <w:r w:rsidRPr="0048052A">
              <w:rPr>
                <w:rFonts w:ascii="PT Astra Serif" w:hAnsi="PT Astra Serif"/>
                <w:sz w:val="20"/>
                <w:szCs w:val="20"/>
              </w:rPr>
              <w:t>от</w:t>
            </w:r>
            <w:proofErr w:type="gramEnd"/>
            <w:r w:rsidRPr="0048052A">
              <w:rPr>
                <w:rFonts w:ascii="PT Astra Serif" w:hAnsi="PT Astra Serif"/>
                <w:sz w:val="20"/>
                <w:szCs w:val="20"/>
              </w:rPr>
              <w:t xml:space="preserve"> общего количества</w:t>
            </w:r>
          </w:p>
        </w:tc>
        <w:bookmarkStart w:id="1" w:name="_GoBack"/>
        <w:bookmarkEnd w:id="1"/>
      </w:tr>
      <w:tr w:rsidR="006B5368" w:rsidRPr="0048052A" w:rsidTr="006B536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68" w:rsidRPr="0048052A" w:rsidRDefault="006B5368" w:rsidP="007C1805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68" w:rsidRPr="005218E9" w:rsidRDefault="006B5368" w:rsidP="007C1805">
            <w:pPr>
              <w:suppressAutoHyphens w:val="0"/>
              <w:rPr>
                <w:rFonts w:ascii="PT Astra Serif" w:hAnsi="PT Astra Serif"/>
                <w:szCs w:val="24"/>
              </w:rPr>
            </w:pPr>
            <w:r w:rsidRPr="005218E9">
              <w:rPr>
                <w:rFonts w:ascii="PT Astra Serif" w:hAnsi="PT Astra Serif"/>
                <w:szCs w:val="24"/>
              </w:rPr>
              <w:t>Сфера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368" w:rsidRPr="0048052A" w:rsidRDefault="006B5368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368" w:rsidRPr="0048052A" w:rsidRDefault="006B5368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368" w:rsidRPr="005218E9" w:rsidRDefault="006B5368" w:rsidP="007C1805">
            <w:pPr>
              <w:suppressAutoHyphens w:val="0"/>
              <w:jc w:val="center"/>
              <w:rPr>
                <w:rFonts w:ascii="PT Astra Serif" w:hAnsi="PT Astra Serif"/>
                <w:szCs w:val="24"/>
              </w:rPr>
            </w:pPr>
            <w:r w:rsidRPr="005218E9">
              <w:rPr>
                <w:rFonts w:ascii="PT Astra Serif" w:hAnsi="PT Astra Serif"/>
                <w:szCs w:val="24"/>
              </w:rPr>
              <w:t>19,9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368" w:rsidRPr="005218E9" w:rsidRDefault="006B5368" w:rsidP="007C1805">
            <w:pPr>
              <w:suppressAutoHyphens w:val="0"/>
              <w:jc w:val="center"/>
              <w:rPr>
                <w:rFonts w:ascii="PT Astra Serif" w:hAnsi="PT Astra Serif"/>
                <w:szCs w:val="24"/>
              </w:rPr>
            </w:pPr>
            <w:r w:rsidRPr="005218E9">
              <w:rPr>
                <w:rFonts w:ascii="PT Astra Serif" w:hAnsi="PT Astra Serif"/>
                <w:szCs w:val="24"/>
              </w:rPr>
              <w:t>19,2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368" w:rsidRPr="005218E9" w:rsidRDefault="006B5368" w:rsidP="007C1805">
            <w:pPr>
              <w:suppressAutoHyphens w:val="0"/>
              <w:jc w:val="center"/>
              <w:rPr>
                <w:rFonts w:ascii="PT Astra Serif" w:hAnsi="PT Astra Serif"/>
                <w:szCs w:val="24"/>
              </w:rPr>
            </w:pPr>
            <w:r w:rsidRPr="005218E9">
              <w:rPr>
                <w:rFonts w:ascii="PT Astra Serif" w:hAnsi="PT Astra Serif"/>
                <w:szCs w:val="24"/>
              </w:rP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368" w:rsidRPr="005218E9" w:rsidRDefault="006B5368" w:rsidP="007C1805">
            <w:pPr>
              <w:suppressAutoHyphens w:val="0"/>
              <w:jc w:val="center"/>
              <w:rPr>
                <w:rFonts w:ascii="PT Astra Serif" w:hAnsi="PT Astra Serif"/>
                <w:szCs w:val="24"/>
              </w:rPr>
            </w:pPr>
            <w:r w:rsidRPr="005218E9">
              <w:rPr>
                <w:rFonts w:ascii="PT Astra Serif" w:hAnsi="PT Astra Serif"/>
                <w:szCs w:val="24"/>
              </w:rPr>
              <w:t>19,6</w:t>
            </w:r>
          </w:p>
        </w:tc>
      </w:tr>
      <w:tr w:rsidR="006B5368" w:rsidRPr="0048052A" w:rsidTr="006B536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68" w:rsidRPr="0048052A" w:rsidRDefault="006B5368" w:rsidP="007C1805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68" w:rsidRPr="005218E9" w:rsidRDefault="006B5368" w:rsidP="007C1805">
            <w:pPr>
              <w:suppressAutoHyphens w:val="0"/>
              <w:rPr>
                <w:rFonts w:ascii="PT Astra Serif" w:hAnsi="PT Astra Serif"/>
                <w:szCs w:val="24"/>
              </w:rPr>
            </w:pPr>
            <w:r w:rsidRPr="005218E9">
              <w:rPr>
                <w:rFonts w:ascii="PT Astra Serif" w:hAnsi="PT Astra Serif"/>
                <w:szCs w:val="24"/>
              </w:rPr>
              <w:t>Социальная сфера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368" w:rsidRPr="0048052A" w:rsidRDefault="006B5368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368" w:rsidRPr="0048052A" w:rsidRDefault="006B5368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368" w:rsidRPr="005218E9" w:rsidRDefault="006B5368" w:rsidP="007C1805">
            <w:pPr>
              <w:suppressAutoHyphens w:val="0"/>
              <w:jc w:val="center"/>
              <w:rPr>
                <w:rFonts w:ascii="PT Astra Serif" w:hAnsi="PT Astra Serif"/>
                <w:szCs w:val="24"/>
              </w:rPr>
            </w:pPr>
            <w:r w:rsidRPr="005218E9">
              <w:rPr>
                <w:rFonts w:ascii="PT Astra Serif" w:hAnsi="PT Astra Serif"/>
                <w:szCs w:val="24"/>
              </w:rPr>
              <w:t>4,2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368" w:rsidRPr="005218E9" w:rsidRDefault="006B5368" w:rsidP="007C1805">
            <w:pPr>
              <w:suppressAutoHyphens w:val="0"/>
              <w:jc w:val="center"/>
              <w:rPr>
                <w:rFonts w:ascii="PT Astra Serif" w:hAnsi="PT Astra Serif"/>
                <w:szCs w:val="24"/>
              </w:rPr>
            </w:pPr>
            <w:r w:rsidRPr="005218E9">
              <w:rPr>
                <w:rFonts w:ascii="PT Astra Serif" w:hAnsi="PT Astra Serif"/>
                <w:szCs w:val="24"/>
              </w:rPr>
              <w:t>5,2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368" w:rsidRPr="005218E9" w:rsidRDefault="006B5368" w:rsidP="007C1805">
            <w:pPr>
              <w:suppressAutoHyphens w:val="0"/>
              <w:jc w:val="center"/>
              <w:rPr>
                <w:rFonts w:ascii="PT Astra Serif" w:hAnsi="PT Astra Serif"/>
                <w:szCs w:val="24"/>
              </w:rPr>
            </w:pPr>
            <w:r w:rsidRPr="005218E9">
              <w:rPr>
                <w:rFonts w:ascii="PT Astra Serif" w:hAnsi="PT Astra Serif"/>
                <w:szCs w:val="24"/>
              </w:rPr>
              <w:t>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368" w:rsidRPr="005218E9" w:rsidRDefault="006B5368" w:rsidP="007C1805">
            <w:pPr>
              <w:suppressAutoHyphens w:val="0"/>
              <w:jc w:val="center"/>
              <w:rPr>
                <w:rFonts w:ascii="PT Astra Serif" w:hAnsi="PT Astra Serif"/>
                <w:szCs w:val="24"/>
              </w:rPr>
            </w:pPr>
            <w:r w:rsidRPr="005218E9">
              <w:rPr>
                <w:rFonts w:ascii="PT Astra Serif" w:hAnsi="PT Astra Serif"/>
                <w:szCs w:val="24"/>
              </w:rPr>
              <w:t>5,2</w:t>
            </w:r>
          </w:p>
        </w:tc>
      </w:tr>
      <w:tr w:rsidR="006B5368" w:rsidRPr="0048052A" w:rsidTr="006B536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68" w:rsidRPr="0048052A" w:rsidRDefault="006B5368" w:rsidP="007C1805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48052A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368" w:rsidRPr="005218E9" w:rsidRDefault="006B5368" w:rsidP="007C1805">
            <w:pPr>
              <w:suppressAutoHyphens w:val="0"/>
              <w:rPr>
                <w:rFonts w:ascii="PT Astra Serif" w:hAnsi="PT Astra Serif"/>
                <w:szCs w:val="24"/>
              </w:rPr>
            </w:pPr>
            <w:r w:rsidRPr="005218E9">
              <w:rPr>
                <w:rFonts w:ascii="PT Astra Serif" w:hAnsi="PT Astra Serif"/>
                <w:szCs w:val="24"/>
              </w:rPr>
              <w:t>Сфера промышленности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368" w:rsidRPr="0048052A" w:rsidRDefault="006B5368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368" w:rsidRPr="0048052A" w:rsidRDefault="006B5368" w:rsidP="007C1805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368" w:rsidRPr="005218E9" w:rsidRDefault="006B5368" w:rsidP="007C1805">
            <w:pPr>
              <w:suppressAutoHyphens w:val="0"/>
              <w:jc w:val="center"/>
              <w:rPr>
                <w:rFonts w:ascii="PT Astra Serif" w:hAnsi="PT Astra Serif"/>
                <w:szCs w:val="24"/>
              </w:rPr>
            </w:pPr>
            <w:r w:rsidRPr="005218E9">
              <w:rPr>
                <w:rFonts w:ascii="PT Astra Serif" w:hAnsi="PT Astra Serif"/>
                <w:szCs w:val="24"/>
              </w:rPr>
              <w:t>6,0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368" w:rsidRPr="005218E9" w:rsidRDefault="006B5368" w:rsidP="007C1805">
            <w:pPr>
              <w:suppressAutoHyphens w:val="0"/>
              <w:jc w:val="center"/>
              <w:rPr>
                <w:rFonts w:ascii="PT Astra Serif" w:hAnsi="PT Astra Serif"/>
                <w:szCs w:val="24"/>
              </w:rPr>
            </w:pPr>
            <w:r w:rsidRPr="005218E9">
              <w:rPr>
                <w:rFonts w:ascii="PT Astra Serif" w:hAnsi="PT Astra Serif"/>
                <w:szCs w:val="24"/>
              </w:rPr>
              <w:t>7,4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368" w:rsidRPr="005218E9" w:rsidRDefault="006B5368" w:rsidP="007C1805">
            <w:pPr>
              <w:suppressAutoHyphens w:val="0"/>
              <w:jc w:val="center"/>
              <w:rPr>
                <w:rFonts w:ascii="PT Astra Serif" w:hAnsi="PT Astra Serif"/>
                <w:szCs w:val="24"/>
              </w:rPr>
            </w:pPr>
            <w:r w:rsidRPr="005218E9">
              <w:rPr>
                <w:rFonts w:ascii="PT Astra Serif" w:hAnsi="PT Astra Serif"/>
                <w:szCs w:val="24"/>
              </w:rPr>
              <w:t>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368" w:rsidRPr="005218E9" w:rsidRDefault="006B5368" w:rsidP="007C1805">
            <w:pPr>
              <w:suppressAutoHyphens w:val="0"/>
              <w:jc w:val="center"/>
              <w:rPr>
                <w:rFonts w:ascii="PT Astra Serif" w:hAnsi="PT Astra Serif"/>
                <w:szCs w:val="24"/>
              </w:rPr>
            </w:pPr>
            <w:r w:rsidRPr="005218E9">
              <w:rPr>
                <w:rFonts w:ascii="PT Astra Serif" w:hAnsi="PT Astra Serif"/>
                <w:szCs w:val="24"/>
              </w:rPr>
              <w:t>6,0</w:t>
            </w:r>
          </w:p>
        </w:tc>
      </w:tr>
    </w:tbl>
    <w:p w:rsidR="00BF6125" w:rsidRDefault="00BF6125" w:rsidP="007C1805">
      <w:pPr>
        <w:ind w:firstLine="567"/>
        <w:rPr>
          <w:rFonts w:ascii="PT Astra Serif" w:eastAsia="Times New Roman" w:hAnsi="PT Astra Serif"/>
          <w:bCs/>
          <w:szCs w:val="24"/>
          <w:lang w:eastAsia="ar-SA"/>
        </w:rPr>
      </w:pPr>
    </w:p>
    <w:p w:rsidR="008A57A7" w:rsidRDefault="00743D74" w:rsidP="00057DA5">
      <w:pPr>
        <w:ind w:firstLine="567"/>
        <w:jc w:val="both"/>
        <w:rPr>
          <w:rFonts w:ascii="PT Astra Serif" w:eastAsia="Calibri" w:hAnsi="PT Astra Serif" w:cs="Times New Roman"/>
          <w:szCs w:val="24"/>
        </w:rPr>
      </w:pPr>
      <w:r>
        <w:rPr>
          <w:rFonts w:ascii="PT Astra Serif" w:eastAsia="Times New Roman" w:hAnsi="PT Astra Serif"/>
          <w:bCs/>
          <w:szCs w:val="24"/>
          <w:lang w:eastAsia="ar-SA"/>
        </w:rPr>
        <w:t xml:space="preserve">Примечание: Информация проанализирована на основе данных </w:t>
      </w:r>
      <w:r>
        <w:rPr>
          <w:rFonts w:ascii="PT Astra Serif" w:eastAsia="Calibri" w:hAnsi="PT Astra Serif" w:cs="Times New Roman"/>
          <w:szCs w:val="24"/>
        </w:rPr>
        <w:t xml:space="preserve">Регионального аналитического центра Ханты-Мансийского автономного округа – Югры  </w:t>
      </w:r>
      <w:hyperlink r:id="rId8" w:history="1">
        <w:r w:rsidRPr="00E0109B">
          <w:rPr>
            <w:rStyle w:val="a7"/>
            <w:rFonts w:ascii="PT Astra Serif" w:eastAsia="Calibri" w:hAnsi="PT Astra Serif" w:cs="Times New Roman"/>
            <w:szCs w:val="24"/>
          </w:rPr>
          <w:t>http://monitoring.admhmao.ru/sections/sm-buisness-monitoring/</w:t>
        </w:r>
      </w:hyperlink>
      <w:r>
        <w:rPr>
          <w:rFonts w:ascii="PT Astra Serif" w:eastAsia="Calibri" w:hAnsi="PT Astra Serif" w:cs="Times New Roman"/>
          <w:szCs w:val="24"/>
        </w:rPr>
        <w:t xml:space="preserve"> </w:t>
      </w:r>
    </w:p>
    <w:sectPr w:rsidR="008A57A7" w:rsidSect="00995FC5">
      <w:pgSz w:w="11906" w:h="16838"/>
      <w:pgMar w:top="42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5BF0FE6"/>
    <w:multiLevelType w:val="hybridMultilevel"/>
    <w:tmpl w:val="8098C11C"/>
    <w:lvl w:ilvl="0" w:tplc="3AE60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DC336E"/>
    <w:multiLevelType w:val="hybridMultilevel"/>
    <w:tmpl w:val="E3584B2C"/>
    <w:lvl w:ilvl="0" w:tplc="58E856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677ABC"/>
    <w:multiLevelType w:val="hybridMultilevel"/>
    <w:tmpl w:val="FEF22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14"/>
    <w:rsid w:val="00033727"/>
    <w:rsid w:val="00056425"/>
    <w:rsid w:val="00057DA5"/>
    <w:rsid w:val="00073DE1"/>
    <w:rsid w:val="0007694B"/>
    <w:rsid w:val="00087783"/>
    <w:rsid w:val="000B50D4"/>
    <w:rsid w:val="000E3F18"/>
    <w:rsid w:val="000F7E4E"/>
    <w:rsid w:val="001346F1"/>
    <w:rsid w:val="00161FC6"/>
    <w:rsid w:val="00171026"/>
    <w:rsid w:val="00171388"/>
    <w:rsid w:val="00190A7E"/>
    <w:rsid w:val="001A6F4D"/>
    <w:rsid w:val="001B6701"/>
    <w:rsid w:val="001C58DD"/>
    <w:rsid w:val="001E6432"/>
    <w:rsid w:val="002065C8"/>
    <w:rsid w:val="00207E14"/>
    <w:rsid w:val="00212A59"/>
    <w:rsid w:val="00214116"/>
    <w:rsid w:val="00224AC3"/>
    <w:rsid w:val="00247D79"/>
    <w:rsid w:val="002571CF"/>
    <w:rsid w:val="002A7051"/>
    <w:rsid w:val="002C1137"/>
    <w:rsid w:val="002C7649"/>
    <w:rsid w:val="002D5E05"/>
    <w:rsid w:val="00303CBA"/>
    <w:rsid w:val="003072A8"/>
    <w:rsid w:val="0033285D"/>
    <w:rsid w:val="003351DC"/>
    <w:rsid w:val="00335F01"/>
    <w:rsid w:val="00337F8D"/>
    <w:rsid w:val="00360A5D"/>
    <w:rsid w:val="003718FD"/>
    <w:rsid w:val="003872CC"/>
    <w:rsid w:val="003A45E3"/>
    <w:rsid w:val="003A6216"/>
    <w:rsid w:val="003F712F"/>
    <w:rsid w:val="003F7B32"/>
    <w:rsid w:val="00417401"/>
    <w:rsid w:val="004233E7"/>
    <w:rsid w:val="0042389B"/>
    <w:rsid w:val="0045599A"/>
    <w:rsid w:val="004602DD"/>
    <w:rsid w:val="00464F78"/>
    <w:rsid w:val="0048052A"/>
    <w:rsid w:val="004A18C4"/>
    <w:rsid w:val="004B58E3"/>
    <w:rsid w:val="004F6DBA"/>
    <w:rsid w:val="005062A0"/>
    <w:rsid w:val="005218E9"/>
    <w:rsid w:val="005372E5"/>
    <w:rsid w:val="00550E6A"/>
    <w:rsid w:val="00562014"/>
    <w:rsid w:val="00566EDA"/>
    <w:rsid w:val="00571E98"/>
    <w:rsid w:val="00582FA4"/>
    <w:rsid w:val="005865A5"/>
    <w:rsid w:val="0059290D"/>
    <w:rsid w:val="00597228"/>
    <w:rsid w:val="005D15CF"/>
    <w:rsid w:val="005D4F77"/>
    <w:rsid w:val="005D7EB1"/>
    <w:rsid w:val="0062145D"/>
    <w:rsid w:val="00624F92"/>
    <w:rsid w:val="00630288"/>
    <w:rsid w:val="006476DA"/>
    <w:rsid w:val="006B3BD4"/>
    <w:rsid w:val="006B5368"/>
    <w:rsid w:val="006C4199"/>
    <w:rsid w:val="006D5C92"/>
    <w:rsid w:val="00726BF6"/>
    <w:rsid w:val="00727AAA"/>
    <w:rsid w:val="007320D1"/>
    <w:rsid w:val="00736DC9"/>
    <w:rsid w:val="00743D74"/>
    <w:rsid w:val="007533E2"/>
    <w:rsid w:val="00762202"/>
    <w:rsid w:val="00792CA7"/>
    <w:rsid w:val="0079759E"/>
    <w:rsid w:val="007C1805"/>
    <w:rsid w:val="007D6927"/>
    <w:rsid w:val="007E63C7"/>
    <w:rsid w:val="00826680"/>
    <w:rsid w:val="008539EB"/>
    <w:rsid w:val="00854048"/>
    <w:rsid w:val="00886E4B"/>
    <w:rsid w:val="008A2D2F"/>
    <w:rsid w:val="008A57A7"/>
    <w:rsid w:val="008B0CF8"/>
    <w:rsid w:val="008B7FE3"/>
    <w:rsid w:val="008F2586"/>
    <w:rsid w:val="008F4C49"/>
    <w:rsid w:val="008F7E24"/>
    <w:rsid w:val="00963A6B"/>
    <w:rsid w:val="009762D1"/>
    <w:rsid w:val="00983CF6"/>
    <w:rsid w:val="00995FC5"/>
    <w:rsid w:val="009C0DDC"/>
    <w:rsid w:val="009C5CE8"/>
    <w:rsid w:val="009D0E21"/>
    <w:rsid w:val="009D0FD2"/>
    <w:rsid w:val="009F6CAC"/>
    <w:rsid w:val="00A13CBB"/>
    <w:rsid w:val="00A22EE0"/>
    <w:rsid w:val="00A354CA"/>
    <w:rsid w:val="00A51260"/>
    <w:rsid w:val="00A54FE8"/>
    <w:rsid w:val="00A71383"/>
    <w:rsid w:val="00A77BBC"/>
    <w:rsid w:val="00A90732"/>
    <w:rsid w:val="00AB3FCC"/>
    <w:rsid w:val="00AC5B5F"/>
    <w:rsid w:val="00AC77AA"/>
    <w:rsid w:val="00AD1BA8"/>
    <w:rsid w:val="00AE041E"/>
    <w:rsid w:val="00B125F1"/>
    <w:rsid w:val="00B16EF2"/>
    <w:rsid w:val="00B17C4E"/>
    <w:rsid w:val="00B61707"/>
    <w:rsid w:val="00B95F7E"/>
    <w:rsid w:val="00B97308"/>
    <w:rsid w:val="00BA06B0"/>
    <w:rsid w:val="00BA0FD4"/>
    <w:rsid w:val="00BB5B60"/>
    <w:rsid w:val="00BB5C97"/>
    <w:rsid w:val="00BB6463"/>
    <w:rsid w:val="00BC38C4"/>
    <w:rsid w:val="00BC55BD"/>
    <w:rsid w:val="00BF37CC"/>
    <w:rsid w:val="00BF6125"/>
    <w:rsid w:val="00C01AA2"/>
    <w:rsid w:val="00C074A6"/>
    <w:rsid w:val="00C30162"/>
    <w:rsid w:val="00C33E06"/>
    <w:rsid w:val="00C50B2D"/>
    <w:rsid w:val="00C8120D"/>
    <w:rsid w:val="00C825B6"/>
    <w:rsid w:val="00C871F2"/>
    <w:rsid w:val="00C91A98"/>
    <w:rsid w:val="00CB6F42"/>
    <w:rsid w:val="00CE173C"/>
    <w:rsid w:val="00CF7B77"/>
    <w:rsid w:val="00D25D0A"/>
    <w:rsid w:val="00D27018"/>
    <w:rsid w:val="00D36FED"/>
    <w:rsid w:val="00D40955"/>
    <w:rsid w:val="00D53085"/>
    <w:rsid w:val="00D53713"/>
    <w:rsid w:val="00D82FD9"/>
    <w:rsid w:val="00DA6990"/>
    <w:rsid w:val="00DC49C5"/>
    <w:rsid w:val="00DC59D4"/>
    <w:rsid w:val="00DD13C2"/>
    <w:rsid w:val="00DD4607"/>
    <w:rsid w:val="00DE1A52"/>
    <w:rsid w:val="00E04370"/>
    <w:rsid w:val="00E0514B"/>
    <w:rsid w:val="00E10C15"/>
    <w:rsid w:val="00E63369"/>
    <w:rsid w:val="00E65F20"/>
    <w:rsid w:val="00E74E29"/>
    <w:rsid w:val="00E80319"/>
    <w:rsid w:val="00E81169"/>
    <w:rsid w:val="00E8250E"/>
    <w:rsid w:val="00E91B49"/>
    <w:rsid w:val="00EA3CDA"/>
    <w:rsid w:val="00ED4C27"/>
    <w:rsid w:val="00EF6EB9"/>
    <w:rsid w:val="00F127EA"/>
    <w:rsid w:val="00F301BA"/>
    <w:rsid w:val="00F47A6C"/>
    <w:rsid w:val="00F56463"/>
    <w:rsid w:val="00F967E1"/>
    <w:rsid w:val="00FA0522"/>
    <w:rsid w:val="00FA32FE"/>
    <w:rsid w:val="00FC02E2"/>
    <w:rsid w:val="00FE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74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E91B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62014"/>
    <w:pPr>
      <w:keepNext/>
      <w:outlineLvl w:val="2"/>
    </w:pPr>
  </w:style>
  <w:style w:type="paragraph" w:styleId="5">
    <w:name w:val="heading 5"/>
    <w:basedOn w:val="a"/>
    <w:next w:val="a"/>
    <w:link w:val="50"/>
    <w:qFormat/>
    <w:rsid w:val="0056201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62014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2014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62014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62014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62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0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1B4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91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BA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0F7E4E"/>
    <w:rPr>
      <w:color w:val="0000FF"/>
      <w:u w:val="single"/>
    </w:rPr>
  </w:style>
  <w:style w:type="paragraph" w:styleId="31">
    <w:name w:val="Body Text 3"/>
    <w:basedOn w:val="a"/>
    <w:link w:val="32"/>
    <w:uiPriority w:val="99"/>
    <w:semiHidden/>
    <w:unhideWhenUsed/>
    <w:rsid w:val="000F7E4E"/>
    <w:pPr>
      <w:spacing w:after="120"/>
    </w:pPr>
    <w:rPr>
      <w:rFonts w:eastAsia="Times New Roman" w:cs="Times New Roman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F7E4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8">
    <w:name w:val="No Spacing"/>
    <w:uiPriority w:val="1"/>
    <w:qFormat/>
    <w:rsid w:val="00A77B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073D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5218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31"/>
    <w:basedOn w:val="a"/>
    <w:rsid w:val="00983CF6"/>
    <w:pPr>
      <w:jc w:val="both"/>
    </w:pPr>
    <w:rPr>
      <w:rFonts w:eastAsia="Times New Roman" w:cs="Times New Roman"/>
      <w:sz w:val="20"/>
      <w:szCs w:val="20"/>
      <w:lang w:eastAsia="ar-SA"/>
    </w:rPr>
  </w:style>
  <w:style w:type="paragraph" w:customStyle="1" w:styleId="pboth">
    <w:name w:val="pboth"/>
    <w:basedOn w:val="a"/>
    <w:rsid w:val="002065C8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743D74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6B5368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extendedtext-short">
    <w:name w:val="extendedtext-short"/>
    <w:basedOn w:val="a0"/>
    <w:rsid w:val="005D7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74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E91B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62014"/>
    <w:pPr>
      <w:keepNext/>
      <w:outlineLvl w:val="2"/>
    </w:pPr>
  </w:style>
  <w:style w:type="paragraph" w:styleId="5">
    <w:name w:val="heading 5"/>
    <w:basedOn w:val="a"/>
    <w:next w:val="a"/>
    <w:link w:val="50"/>
    <w:qFormat/>
    <w:rsid w:val="0056201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62014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2014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62014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62014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62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0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1B4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91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BA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0F7E4E"/>
    <w:rPr>
      <w:color w:val="0000FF"/>
      <w:u w:val="single"/>
    </w:rPr>
  </w:style>
  <w:style w:type="paragraph" w:styleId="31">
    <w:name w:val="Body Text 3"/>
    <w:basedOn w:val="a"/>
    <w:link w:val="32"/>
    <w:uiPriority w:val="99"/>
    <w:semiHidden/>
    <w:unhideWhenUsed/>
    <w:rsid w:val="000F7E4E"/>
    <w:pPr>
      <w:spacing w:after="120"/>
    </w:pPr>
    <w:rPr>
      <w:rFonts w:eastAsia="Times New Roman" w:cs="Times New Roman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F7E4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8">
    <w:name w:val="No Spacing"/>
    <w:uiPriority w:val="1"/>
    <w:qFormat/>
    <w:rsid w:val="00A77B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073D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5218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31"/>
    <w:basedOn w:val="a"/>
    <w:rsid w:val="00983CF6"/>
    <w:pPr>
      <w:jc w:val="both"/>
    </w:pPr>
    <w:rPr>
      <w:rFonts w:eastAsia="Times New Roman" w:cs="Times New Roman"/>
      <w:sz w:val="20"/>
      <w:szCs w:val="20"/>
      <w:lang w:eastAsia="ar-SA"/>
    </w:rPr>
  </w:style>
  <w:style w:type="paragraph" w:customStyle="1" w:styleId="pboth">
    <w:name w:val="pboth"/>
    <w:basedOn w:val="a"/>
    <w:rsid w:val="002065C8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743D74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6B5368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extendedtext-short">
    <w:name w:val="extendedtext-short"/>
    <w:basedOn w:val="a0"/>
    <w:rsid w:val="005D7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itoring.admhmao.ru/sections/sm-buisness-monitoring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BD2DE-7A6E-4A3E-AFE3-78CECE5C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2221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Скворцова Наталья Николаевна</cp:lastModifiedBy>
  <cp:revision>17</cp:revision>
  <cp:lastPrinted>2021-06-29T05:49:00Z</cp:lastPrinted>
  <dcterms:created xsi:type="dcterms:W3CDTF">2021-06-07T10:06:00Z</dcterms:created>
  <dcterms:modified xsi:type="dcterms:W3CDTF">2021-06-29T05:50:00Z</dcterms:modified>
</cp:coreProperties>
</file>