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337517">
            <w:pPr>
              <w:tabs>
                <w:tab w:val="num" w:pos="142"/>
              </w:tabs>
              <w:autoSpaceDE w:val="0"/>
              <w:autoSpaceDN w:val="0"/>
              <w:adjustRightInd w:val="0"/>
              <w:spacing w:line="276" w:lineRule="auto"/>
              <w:jc w:val="center"/>
              <w:rPr>
                <w:lang w:eastAsia="en-US"/>
              </w:rPr>
            </w:pPr>
            <w:r>
              <w:rPr>
                <w:lang w:eastAsia="en-US"/>
              </w:rPr>
              <w:t xml:space="preserve">не менее </w:t>
            </w:r>
            <w:r w:rsidR="00A60DC2">
              <w:rPr>
                <w:lang w:eastAsia="en-US"/>
              </w:rPr>
              <w:t>97</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A60DC2" w:rsidP="00473929">
            <w:pPr>
              <w:spacing w:line="276" w:lineRule="auto"/>
              <w:ind w:right="176" w:firstLine="705"/>
              <w:jc w:val="center"/>
              <w:rPr>
                <w:b/>
                <w:lang w:eastAsia="en-US"/>
              </w:rPr>
            </w:pPr>
            <w:r>
              <w:rPr>
                <w:bCs/>
                <w:lang w:eastAsia="en-US"/>
              </w:rPr>
              <w:t>5 132 852</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Застройщик обязан не позднее 3 квартала 2015 года</w:t>
      </w:r>
      <w:r w:rsidR="003F1188"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w:t>
      </w:r>
      <w:proofErr w:type="gramStart"/>
      <w:r w:rsidR="003F1188" w:rsidRPr="00995F49">
        <w:t>с даты выдачи</w:t>
      </w:r>
      <w:proofErr w:type="gramEnd"/>
      <w:r w:rsidR="003F1188" w:rsidRPr="00995F49">
        <w:t xml:space="preserve"> разрешения на ввод объекта в эксплуатацию</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аванс в размере 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95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w:t>
      </w:r>
      <w:bookmarkStart w:id="0" w:name="_GoBack"/>
      <w:bookmarkEnd w:id="0"/>
      <w:r w:rsidRPr="00D70E1B">
        <w:t xml:space="preserve">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     »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       »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A60DC2">
        <w:t xml:space="preserve">25 664,26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A60DC2">
        <w:rPr>
          <w:bCs/>
          <w:kern w:val="1"/>
          <w:sz w:val="22"/>
          <w:szCs w:val="22"/>
          <w:lang w:eastAsia="ar-SA"/>
        </w:rPr>
        <w:t>256 642,60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D8" w:rsidRDefault="00211ED8" w:rsidP="002F6760">
      <w:pPr>
        <w:spacing w:after="0"/>
      </w:pPr>
      <w:r>
        <w:separator/>
      </w:r>
    </w:p>
  </w:endnote>
  <w:endnote w:type="continuationSeparator" w:id="0">
    <w:p w:rsidR="00211ED8" w:rsidRDefault="00211ED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F118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D8" w:rsidRDefault="00211ED8" w:rsidP="002F6760">
      <w:pPr>
        <w:spacing w:after="0"/>
      </w:pPr>
      <w:r>
        <w:separator/>
      </w:r>
    </w:p>
  </w:footnote>
  <w:footnote w:type="continuationSeparator" w:id="0">
    <w:p w:rsidR="00211ED8" w:rsidRDefault="00211ED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E04CA"/>
    <w:rsid w:val="007E3887"/>
    <w:rsid w:val="007F79A3"/>
    <w:rsid w:val="0081191D"/>
    <w:rsid w:val="0081662B"/>
    <w:rsid w:val="00830F56"/>
    <w:rsid w:val="0083393B"/>
    <w:rsid w:val="008628EA"/>
    <w:rsid w:val="00865EE1"/>
    <w:rsid w:val="008663D9"/>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77C81"/>
    <w:rsid w:val="00B83068"/>
    <w:rsid w:val="00B84546"/>
    <w:rsid w:val="00B85A25"/>
    <w:rsid w:val="00B90ECE"/>
    <w:rsid w:val="00B95272"/>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5</Pages>
  <Words>2378</Words>
  <Characters>13556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63</cp:revision>
  <cp:lastPrinted>2015-08-13T10:34:00Z</cp:lastPrinted>
  <dcterms:created xsi:type="dcterms:W3CDTF">2014-05-20T09:26:00Z</dcterms:created>
  <dcterms:modified xsi:type="dcterms:W3CDTF">2015-08-18T03:48:00Z</dcterms:modified>
</cp:coreProperties>
</file>