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FB56ED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="00B217F2">
        <w:rPr>
          <w:b/>
          <w:color w:val="000000"/>
          <w:sz w:val="22"/>
          <w:szCs w:val="22"/>
        </w:rPr>
        <w:t>в</w:t>
      </w:r>
      <w:r w:rsidR="00B217F2" w:rsidRPr="00B217F2">
        <w:rPr>
          <w:b/>
          <w:sz w:val="22"/>
          <w:szCs w:val="22"/>
        </w:rPr>
        <w:t xml:space="preserve">ыполнение работ по отсыпке и </w:t>
      </w:r>
      <w:proofErr w:type="spellStart"/>
      <w:r w:rsidR="00B217F2" w:rsidRPr="00B217F2">
        <w:rPr>
          <w:b/>
          <w:sz w:val="22"/>
          <w:szCs w:val="22"/>
        </w:rPr>
        <w:t>грейдированию</w:t>
      </w:r>
      <w:proofErr w:type="spellEnd"/>
      <w:r w:rsidR="00B217F2" w:rsidRPr="00B217F2">
        <w:rPr>
          <w:b/>
          <w:sz w:val="22"/>
          <w:szCs w:val="22"/>
        </w:rPr>
        <w:t xml:space="preserve"> грунтовых дорог в городе </w:t>
      </w:r>
      <w:proofErr w:type="spellStart"/>
      <w:r w:rsidR="00B217F2" w:rsidRPr="00B217F2">
        <w:rPr>
          <w:b/>
          <w:sz w:val="22"/>
          <w:szCs w:val="22"/>
        </w:rPr>
        <w:t>Югорске</w:t>
      </w:r>
      <w:proofErr w:type="spellEnd"/>
      <w:r w:rsidR="00B217F2" w:rsidRPr="00B217F2">
        <w:rPr>
          <w:b/>
          <w:sz w:val="22"/>
          <w:szCs w:val="22"/>
        </w:rPr>
        <w:t>.</w:t>
      </w:r>
    </w:p>
    <w:p w:rsidR="00FB56ED" w:rsidRDefault="00FB56ED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b/>
          <w:bCs/>
          <w:kern w:val="2"/>
          <w:sz w:val="22"/>
          <w:szCs w:val="22"/>
          <w:u w:val="single"/>
        </w:rPr>
      </w:pPr>
    </w:p>
    <w:p w:rsidR="00E66E25" w:rsidRPr="00E66E25" w:rsidRDefault="00E66E25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color w:val="000000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r w:rsidR="00B217F2" w:rsidRPr="00B217F2">
        <w:rPr>
          <w:sz w:val="22"/>
          <w:szCs w:val="22"/>
        </w:rPr>
        <w:t xml:space="preserve">Место выполнения работ: Ханты - Мансийский автономный округ - Югра,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 xml:space="preserve">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>, улично-дорожная сеть. Конкретные места выполнения работ будут указаны Уполномоченным лицом Муниципального заказчика (экспертом)  на стадии исполнения муниципального контракта</w:t>
      </w:r>
    </w:p>
    <w:p w:rsidR="00E66E25" w:rsidRPr="006D1A6A" w:rsidRDefault="00E66E25" w:rsidP="00FB56ED">
      <w:pPr>
        <w:suppressAutoHyphens w:val="0"/>
        <w:autoSpaceDE w:val="0"/>
        <w:autoSpaceDN w:val="0"/>
        <w:adjustRightInd w:val="0"/>
        <w:spacing w:after="0"/>
        <w:ind w:right="-1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DA474D" w:rsidRDefault="00E66E25" w:rsidP="00FB56ED">
      <w:pPr>
        <w:spacing w:after="0"/>
        <w:ind w:right="-1"/>
        <w:rPr>
          <w:kern w:val="2"/>
          <w:sz w:val="22"/>
          <w:szCs w:val="22"/>
        </w:rPr>
      </w:pPr>
      <w:r w:rsidRPr="00DA474D">
        <w:rPr>
          <w:kern w:val="2"/>
          <w:sz w:val="22"/>
          <w:szCs w:val="22"/>
        </w:rPr>
        <w:t>- начало: с даты заключения муниципального контракта;</w:t>
      </w:r>
    </w:p>
    <w:p w:rsidR="00E66E25" w:rsidRPr="00DA474D" w:rsidRDefault="00E66E25" w:rsidP="00E66E25">
      <w:pPr>
        <w:spacing w:after="0"/>
        <w:rPr>
          <w:sz w:val="22"/>
          <w:szCs w:val="22"/>
        </w:rPr>
      </w:pPr>
      <w:r w:rsidRPr="00DA474D">
        <w:rPr>
          <w:kern w:val="2"/>
          <w:sz w:val="22"/>
          <w:szCs w:val="22"/>
        </w:rPr>
        <w:t>- окончание:</w:t>
      </w:r>
      <w:r w:rsidRPr="00DA474D">
        <w:rPr>
          <w:sz w:val="22"/>
          <w:szCs w:val="22"/>
        </w:rPr>
        <w:t xml:space="preserve"> </w:t>
      </w:r>
      <w:r w:rsidR="00DA474D" w:rsidRPr="00DA474D">
        <w:rPr>
          <w:sz w:val="22"/>
          <w:szCs w:val="22"/>
        </w:rPr>
        <w:t>30 июня</w:t>
      </w:r>
      <w:r w:rsidRPr="00DA474D">
        <w:rPr>
          <w:sz w:val="22"/>
          <w:szCs w:val="22"/>
        </w:rPr>
        <w:t xml:space="preserve"> 2021 года;</w:t>
      </w:r>
    </w:p>
    <w:p w:rsidR="00273F0E" w:rsidRPr="00273F0E" w:rsidRDefault="00E66E25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</w:pPr>
      <w:r w:rsidRPr="00DA474D">
        <w:rPr>
          <w:bCs/>
          <w:kern w:val="2"/>
          <w:sz w:val="22"/>
          <w:szCs w:val="22"/>
        </w:rPr>
        <w:tab/>
      </w:r>
      <w:r w:rsidR="00273F0E" w:rsidRPr="00DA474D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ab/>
        <w:t>Начальная (максимальная) цена контракта, начальная сумма цен указанных единиц и максимальное</w:t>
      </w:r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 xml:space="preserve">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</w:t>
      </w:r>
      <w:bookmarkStart w:id="1" w:name="_GoBack"/>
      <w:bookmarkEnd w:id="1"/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>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73F0E" w:rsidRPr="00273F0E" w:rsidRDefault="00273F0E" w:rsidP="00273F0E">
      <w:pPr>
        <w:tabs>
          <w:tab w:val="left" w:pos="0"/>
          <w:tab w:val="num" w:pos="148"/>
        </w:tabs>
        <w:suppressAutoHyphens w:val="0"/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Pr="00273F0E"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  <w:t>Требования к сроку и объему предоставления гарантии качества работ:</w:t>
      </w:r>
    </w:p>
    <w:p w:rsidR="00273F0E" w:rsidRPr="00273F0E" w:rsidRDefault="00FB56ED" w:rsidP="00273F0E">
      <w:pPr>
        <w:suppressAutoHyphens w:val="0"/>
        <w:spacing w:after="0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="00273F0E"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соответствие результата работ технического задания документации об аукционе и несет ответственность за отступления от них. </w:t>
      </w:r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выполнять работы в соответствии с методическими рекомендациями, принятыми письмом </w:t>
      </w:r>
      <w:proofErr w:type="spellStart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>Росавтодора</w:t>
      </w:r>
      <w:proofErr w:type="spellEnd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 от 17.03.2004 г. №ОС-28/1270-ис.</w:t>
      </w:r>
    </w:p>
    <w:p w:rsidR="00273F0E" w:rsidRPr="00273F0E" w:rsidRDefault="00273F0E" w:rsidP="00273F0E">
      <w:pPr>
        <w:suppressAutoHyphens w:val="0"/>
        <w:spacing w:after="0"/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  <w:t xml:space="preserve">Предоставление гарантии на выполненные работы предусмотрено на весь объем выполняемых работ Подрядчиком. </w:t>
      </w:r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273F0E" w:rsidRPr="00273F0E" w:rsidRDefault="00273F0E" w:rsidP="00FB56ED">
      <w:pPr>
        <w:suppressAutoHyphens w:val="0"/>
        <w:spacing w:after="0"/>
        <w:ind w:firstLine="567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  <w:r w:rsidRPr="00B217F2">
        <w:rPr>
          <w:rFonts w:eastAsia="Calibri"/>
          <w:kern w:val="0"/>
          <w:sz w:val="22"/>
          <w:szCs w:val="22"/>
          <w:lang w:eastAsia="en-US"/>
        </w:rPr>
        <w:tab/>
      </w:r>
      <w:r w:rsidRPr="00B217F2">
        <w:rPr>
          <w:rFonts w:eastAsia="Calibri"/>
          <w:kern w:val="0"/>
          <w:sz w:val="22"/>
          <w:szCs w:val="22"/>
          <w:lang w:eastAsia="en-US"/>
        </w:rPr>
        <w:tab/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9212FB" w:rsidRPr="00E66E25" w:rsidRDefault="009212FB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73F0E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217F2"/>
    <w:rsid w:val="00B725CD"/>
    <w:rsid w:val="00B80E50"/>
    <w:rsid w:val="00BC06C2"/>
    <w:rsid w:val="00BD628F"/>
    <w:rsid w:val="00BE64C4"/>
    <w:rsid w:val="00C06714"/>
    <w:rsid w:val="00CA0CFE"/>
    <w:rsid w:val="00CE429D"/>
    <w:rsid w:val="00D43DE9"/>
    <w:rsid w:val="00D566C2"/>
    <w:rsid w:val="00D85EAF"/>
    <w:rsid w:val="00DA474D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B56ED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9F43-54CA-4CF1-BEAF-F67C6C90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18</cp:revision>
  <cp:lastPrinted>2021-04-23T04:49:00Z</cp:lastPrinted>
  <dcterms:created xsi:type="dcterms:W3CDTF">2020-03-17T11:52:00Z</dcterms:created>
  <dcterms:modified xsi:type="dcterms:W3CDTF">2021-04-23T04:49:00Z</dcterms:modified>
</cp:coreProperties>
</file>