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62EB4">
        <w:rPr>
          <w:sz w:val="24"/>
          <w:szCs w:val="24"/>
        </w:rPr>
        <w:t>20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62EB4">
        <w:rPr>
          <w:sz w:val="24"/>
          <w:szCs w:val="24"/>
        </w:rPr>
        <w:t>6</w:t>
      </w:r>
      <w:r w:rsidR="003D1E55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F663C" w:rsidRPr="00F62EB4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</w:t>
      </w:r>
      <w:r w:rsidRPr="006F663C">
        <w:rPr>
          <w:rFonts w:ascii="PT Astra Serif" w:hAnsi="PT Astra Serif"/>
          <w:spacing w:val="-6"/>
          <w:sz w:val="24"/>
          <w:szCs w:val="24"/>
        </w:rPr>
        <w:t>03</w:t>
      </w:r>
      <w:r w:rsidR="00F62EB4">
        <w:rPr>
          <w:rFonts w:ascii="PT Astra Serif" w:hAnsi="PT Astra Serif"/>
          <w:spacing w:val="-6"/>
          <w:sz w:val="24"/>
          <w:szCs w:val="24"/>
        </w:rPr>
        <w:t>6</w:t>
      </w:r>
      <w:r w:rsidR="003D1E55">
        <w:rPr>
          <w:rFonts w:ascii="PT Astra Serif" w:hAnsi="PT Astra Serif"/>
          <w:spacing w:val="-6"/>
          <w:sz w:val="24"/>
          <w:szCs w:val="24"/>
        </w:rPr>
        <w:t>9</w:t>
      </w:r>
      <w:r w:rsidRPr="006F663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D1E55" w:rsidRPr="003D1E55">
        <w:rPr>
          <w:rFonts w:ascii="PT Astra Serif" w:hAnsi="PT Astra Serif"/>
          <w:bCs/>
          <w:sz w:val="24"/>
          <w:szCs w:val="24"/>
        </w:rPr>
        <w:t>для субъектов малого предпринимательства и социально ори</w:t>
      </w:r>
      <w:bookmarkStart w:id="0" w:name="_GoBack"/>
      <w:bookmarkEnd w:id="0"/>
      <w:r w:rsidR="003D1E55" w:rsidRPr="003D1E55">
        <w:rPr>
          <w:rFonts w:ascii="PT Astra Serif" w:hAnsi="PT Astra Serif"/>
          <w:bCs/>
          <w:sz w:val="24"/>
          <w:szCs w:val="24"/>
        </w:rPr>
        <w:t xml:space="preserve">ентированных некоммерческих организаций  </w:t>
      </w:r>
      <w:r w:rsidRPr="003D1E55">
        <w:rPr>
          <w:rFonts w:ascii="PT Astra Serif" w:hAnsi="PT Astra Serif"/>
          <w:sz w:val="24"/>
          <w:szCs w:val="24"/>
        </w:rPr>
        <w:t xml:space="preserve">на </w:t>
      </w:r>
      <w:r w:rsidRPr="00F62EB4">
        <w:rPr>
          <w:rFonts w:ascii="PT Astra Serif" w:hAnsi="PT Astra Serif"/>
          <w:sz w:val="24"/>
          <w:szCs w:val="24"/>
        </w:rPr>
        <w:t xml:space="preserve">право заключения гражданско-правового договора на поставку продуктов питания </w:t>
      </w:r>
      <w:r w:rsidR="00F62EB4" w:rsidRPr="00F62EB4">
        <w:rPr>
          <w:rFonts w:ascii="PT Astra Serif" w:hAnsi="PT Astra Serif"/>
          <w:sz w:val="24"/>
          <w:szCs w:val="24"/>
        </w:rPr>
        <w:t>(огурцы, томаты)</w:t>
      </w:r>
      <w:r w:rsidR="00F62EB4" w:rsidRPr="00F62EB4">
        <w:rPr>
          <w:rFonts w:ascii="PT Astra Serif" w:hAnsi="PT Astra Serif"/>
          <w:sz w:val="24"/>
          <w:szCs w:val="24"/>
        </w:rPr>
        <w:t>.</w:t>
      </w:r>
    </w:p>
    <w:p w:rsidR="006F663C" w:rsidRPr="00F62EB4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62E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62EB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62EB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62EB4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62EB4" w:rsidRPr="00F62EB4">
        <w:rPr>
          <w:rFonts w:ascii="PT Astra Serif" w:hAnsi="PT Astra Serif"/>
          <w:bCs/>
          <w:sz w:val="24"/>
          <w:szCs w:val="24"/>
        </w:rPr>
        <w:t>6</w:t>
      </w:r>
      <w:r w:rsidR="003D1E55" w:rsidRPr="00F62EB4">
        <w:rPr>
          <w:rFonts w:ascii="PT Astra Serif" w:hAnsi="PT Astra Serif"/>
          <w:bCs/>
          <w:sz w:val="24"/>
          <w:szCs w:val="24"/>
        </w:rPr>
        <w:t>9</w:t>
      </w:r>
      <w:r w:rsidRPr="00F62EB4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F62EB4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62EB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62EB4" w:rsidRPr="00F62EB4">
        <w:rPr>
          <w:rFonts w:ascii="PT Astra Serif" w:hAnsi="PT Astra Serif"/>
          <w:sz w:val="24"/>
          <w:szCs w:val="24"/>
        </w:rPr>
        <w:t>223862200101186220100100530010000244</w:t>
      </w:r>
      <w:r w:rsidRPr="00F62EB4">
        <w:rPr>
          <w:rFonts w:ascii="PT Astra Serif" w:hAnsi="PT Astra Serif"/>
          <w:sz w:val="24"/>
          <w:szCs w:val="24"/>
        </w:rPr>
        <w:t>.</w:t>
      </w:r>
    </w:p>
    <w:p w:rsidR="006F663C" w:rsidRPr="00F62EB4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62EB4">
        <w:rPr>
          <w:rFonts w:ascii="PT Astra Serif" w:hAnsi="PT Astra Serif"/>
          <w:sz w:val="24"/>
          <w:szCs w:val="24"/>
        </w:rPr>
        <w:t xml:space="preserve">2. </w:t>
      </w:r>
      <w:r w:rsidRPr="00F62EB4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</w:t>
      </w:r>
      <w:r w:rsidR="00F62EB4" w:rsidRPr="00F62EB4">
        <w:rPr>
          <w:rFonts w:ascii="PT Astra Serif" w:eastAsia="Calibri" w:hAnsi="PT Astra Serif" w:cs="Calibri"/>
          <w:color w:val="000000"/>
          <w:sz w:val="24"/>
          <w:szCs w:val="24"/>
        </w:rPr>
        <w:t>232 020</w:t>
      </w:r>
      <w:r w:rsidR="003D1E55" w:rsidRPr="00F62EB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62EB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62EB4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D1E55" w:rsidRPr="00F62EB4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F62EB4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62EB4" w:rsidRPr="00F62EB4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Pr="00F62EB4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663C">
        <w:rPr>
          <w:rFonts w:ascii="PT Astra Serif" w:hAnsi="PT Astra Serif"/>
          <w:sz w:val="24"/>
          <w:szCs w:val="24"/>
        </w:rPr>
        <w:t>1</w:t>
      </w:r>
      <w:r w:rsidR="00F62EB4">
        <w:rPr>
          <w:rFonts w:ascii="PT Astra Serif" w:hAnsi="PT Astra Serif"/>
          <w:sz w:val="24"/>
          <w:szCs w:val="24"/>
        </w:rPr>
        <w:t>43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F663C">
        <w:rPr>
          <w:rFonts w:ascii="PT Astra Serif" w:hAnsi="PT Astra Serif"/>
          <w:bCs/>
          <w:sz w:val="24"/>
          <w:szCs w:val="24"/>
        </w:rPr>
        <w:t>1</w:t>
      </w:r>
      <w:r w:rsidR="00F62EB4">
        <w:rPr>
          <w:rFonts w:ascii="PT Astra Serif" w:hAnsi="PT Astra Serif"/>
          <w:bCs/>
          <w:sz w:val="24"/>
          <w:szCs w:val="24"/>
        </w:rPr>
        <w:t>43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6F663C">
        <w:rPr>
          <w:rFonts w:ascii="PT Astra Serif" w:hAnsi="PT Astra Serif"/>
          <w:sz w:val="24"/>
          <w:szCs w:val="24"/>
        </w:rPr>
        <w:t>О.В.</w:t>
      </w:r>
      <w:r w:rsidR="00AF4F21">
        <w:rPr>
          <w:rFonts w:ascii="PT Astra Serif" w:hAnsi="PT Astra Serif"/>
          <w:sz w:val="24"/>
          <w:szCs w:val="24"/>
        </w:rPr>
        <w:t xml:space="preserve"> </w:t>
      </w:r>
      <w:r w:rsidR="006F663C">
        <w:rPr>
          <w:rFonts w:ascii="PT Astra Serif" w:hAnsi="PT Astra Serif"/>
          <w:sz w:val="24"/>
          <w:szCs w:val="24"/>
        </w:rPr>
        <w:t>Смирнова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62EB4"/>
    <w:rsid w:val="00F85892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78</cp:revision>
  <cp:lastPrinted>2022-12-13T05:11:00Z</cp:lastPrinted>
  <dcterms:created xsi:type="dcterms:W3CDTF">2022-02-22T06:44:00Z</dcterms:created>
  <dcterms:modified xsi:type="dcterms:W3CDTF">2022-12-19T10:55:00Z</dcterms:modified>
</cp:coreProperties>
</file>