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02C4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E02C41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E02C41">
        <w:rPr>
          <w:sz w:val="24"/>
          <w:szCs w:val="24"/>
          <w:u w:val="single"/>
        </w:rPr>
        <w:t xml:space="preserve">  31 октября 2018 года  </w:t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</w:r>
      <w:r w:rsidR="00E02C41">
        <w:rPr>
          <w:sz w:val="24"/>
          <w:szCs w:val="24"/>
        </w:rPr>
        <w:tab/>
        <w:t xml:space="preserve">         №</w:t>
      </w:r>
      <w:r w:rsidR="00E02C41">
        <w:rPr>
          <w:sz w:val="24"/>
          <w:szCs w:val="24"/>
          <w:u w:val="single"/>
        </w:rPr>
        <w:t xml:space="preserve"> 3006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F6CCF" w:rsidRPr="003E7150" w:rsidRDefault="005F6CCF" w:rsidP="005F6CCF">
      <w:pPr>
        <w:rPr>
          <w:sz w:val="24"/>
          <w:szCs w:val="24"/>
        </w:rPr>
      </w:pPr>
      <w:r w:rsidRPr="003E7150">
        <w:rPr>
          <w:sz w:val="24"/>
          <w:szCs w:val="24"/>
        </w:rPr>
        <w:t xml:space="preserve">О муниципальной программе города Югорска </w:t>
      </w:r>
    </w:p>
    <w:p w:rsidR="005F6CCF" w:rsidRDefault="005F6CCF" w:rsidP="005F6CCF">
      <w:pPr>
        <w:rPr>
          <w:sz w:val="24"/>
          <w:szCs w:val="24"/>
        </w:rPr>
      </w:pPr>
      <w:r w:rsidRPr="003E7150">
        <w:rPr>
          <w:sz w:val="24"/>
          <w:szCs w:val="24"/>
        </w:rPr>
        <w:t xml:space="preserve">«Развитие жилищно-коммунального комплекса </w:t>
      </w:r>
    </w:p>
    <w:p w:rsidR="005F6CCF" w:rsidRPr="003E7150" w:rsidRDefault="005F6CCF" w:rsidP="005F6CCF">
      <w:pPr>
        <w:rPr>
          <w:sz w:val="24"/>
          <w:szCs w:val="24"/>
        </w:rPr>
      </w:pPr>
      <w:r w:rsidRPr="003E7150">
        <w:rPr>
          <w:sz w:val="24"/>
          <w:szCs w:val="24"/>
        </w:rPr>
        <w:t>и повышение энергетической эффективности»</w:t>
      </w:r>
    </w:p>
    <w:p w:rsidR="005F6CCF" w:rsidRDefault="005F6CCF" w:rsidP="005F6CCF">
      <w:pPr>
        <w:suppressAutoHyphens w:val="0"/>
        <w:rPr>
          <w:sz w:val="24"/>
          <w:szCs w:val="24"/>
          <w:lang w:eastAsia="ru-RU"/>
        </w:rPr>
      </w:pPr>
    </w:p>
    <w:p w:rsidR="005F6CCF" w:rsidRDefault="005F6CCF" w:rsidP="005F6CCF">
      <w:pPr>
        <w:suppressAutoHyphens w:val="0"/>
        <w:rPr>
          <w:sz w:val="24"/>
          <w:szCs w:val="24"/>
          <w:lang w:eastAsia="ru-RU"/>
        </w:rPr>
      </w:pPr>
    </w:p>
    <w:p w:rsidR="005F6CCF" w:rsidRPr="003E7150" w:rsidRDefault="005F6CCF" w:rsidP="005F6CCF">
      <w:pPr>
        <w:suppressAutoHyphens w:val="0"/>
        <w:rPr>
          <w:sz w:val="24"/>
          <w:szCs w:val="24"/>
          <w:lang w:eastAsia="ru-RU"/>
        </w:rPr>
      </w:pPr>
    </w:p>
    <w:p w:rsidR="005F6CCF" w:rsidRPr="005F6CCF" w:rsidRDefault="005F6CCF" w:rsidP="005F6C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F6CCF">
        <w:rPr>
          <w:bCs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</w:t>
      </w:r>
      <w:r>
        <w:rPr>
          <w:bCs/>
          <w:sz w:val="24"/>
          <w:szCs w:val="24"/>
          <w:lang w:eastAsia="ru-RU"/>
        </w:rPr>
        <w:t xml:space="preserve">                                 </w:t>
      </w:r>
      <w:r w:rsidRPr="005F6CCF">
        <w:rPr>
          <w:bCs/>
          <w:sz w:val="24"/>
          <w:szCs w:val="24"/>
          <w:lang w:eastAsia="ru-RU"/>
        </w:rPr>
        <w:t>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 w:rsidRPr="005F6CCF">
        <w:rPr>
          <w:bCs/>
          <w:sz w:val="24"/>
          <w:szCs w:val="24"/>
          <w:lang w:eastAsia="ru-RU"/>
        </w:rPr>
        <w:t xml:space="preserve"> 18.10.2018 № 2816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в целях социально-экономического развития города Югорска</w:t>
      </w:r>
      <w:r w:rsidRPr="005F6CCF">
        <w:rPr>
          <w:sz w:val="24"/>
          <w:szCs w:val="24"/>
          <w:lang w:eastAsia="ru-RU"/>
        </w:rPr>
        <w:t>: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6CCF">
        <w:rPr>
          <w:bCs/>
          <w:sz w:val="24"/>
          <w:szCs w:val="24"/>
        </w:rPr>
        <w:t>1. Утвердить муниципальную программу города Югорска «Развитие жилищно-коммунального комплекса и повышение энергетической эффективности» (приложение).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6CCF">
        <w:rPr>
          <w:bCs/>
          <w:sz w:val="24"/>
          <w:szCs w:val="24"/>
        </w:rPr>
        <w:t>2. Признать утратившими силу постановления администрации города Югорска: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6CCF">
        <w:rPr>
          <w:bCs/>
          <w:sz w:val="24"/>
          <w:szCs w:val="24"/>
        </w:rPr>
        <w:t>- от 31.10.2013 № 3274 «О муниципальной программе города Югорска «Капитальный ремонт жилищного фонда города Югорска на 2014-2020 годы»;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bCs/>
          <w:sz w:val="24"/>
          <w:szCs w:val="24"/>
        </w:rPr>
        <w:t xml:space="preserve">- </w:t>
      </w:r>
      <w:r w:rsidRPr="005F6CCF">
        <w:rPr>
          <w:sz w:val="24"/>
          <w:szCs w:val="24"/>
          <w:lang w:eastAsia="ru-RU"/>
        </w:rPr>
        <w:t xml:space="preserve">от 14.05.2014 № 2093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06.08.2014 № 3999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18.09.2014 № 4896 «О внесении изменений в постановление администрации города Югорска от 06.08.2014 № 3999»;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18.11.2014 № 6239 «О внесении изменений в постановление администрации города Югорска от 06.08.2014 № 3999»;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25.11.2014 № 6391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26.05.2015 № 2135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26.08.2015 № 2871 «О внесении изменения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26.11.2015 № 3427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21.12.2015 № 3699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lastRenderedPageBreak/>
        <w:t xml:space="preserve">- от 21.12.2015 № 3722 «О внесении изменений в постановление администрации города Югорска от 31.10.2013 № 3274»;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>- от 16.02.2016 № 364 «О внесении изменений в постановление администрации города Югорска от 31.10.2013 № 3274»;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23.11.2016 № 2890 «О внесении изменения в постановление администрации города Югорска от 31.10.2013 № 3274 </w:t>
      </w:r>
      <w:r w:rsidRPr="005F6CCF">
        <w:rPr>
          <w:bCs/>
          <w:sz w:val="24"/>
          <w:szCs w:val="24"/>
        </w:rPr>
        <w:t>«О муниципальной программе города Югорска «Капитальный ремонт жилищного фонда города Югорска на 2014-2020 годы</w:t>
      </w:r>
      <w:r w:rsidRPr="005F6CCF">
        <w:rPr>
          <w:sz w:val="24"/>
          <w:szCs w:val="24"/>
          <w:lang w:eastAsia="ru-RU"/>
        </w:rPr>
        <w:t xml:space="preserve">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22.12.2016 № 3306 «О внесении изменений в постановление администрации города Югорска от 31.10.2013 № 3274 </w:t>
      </w:r>
      <w:r w:rsidRPr="005F6CCF">
        <w:rPr>
          <w:bCs/>
          <w:sz w:val="24"/>
          <w:szCs w:val="24"/>
        </w:rPr>
        <w:t>«О муниципальной программе города Югорска «Капитальный ремонт жилищного фонда города Югорска на 2014-2020 годы</w:t>
      </w:r>
      <w:r w:rsidRPr="005F6CCF">
        <w:rPr>
          <w:sz w:val="24"/>
          <w:szCs w:val="24"/>
          <w:lang w:eastAsia="ru-RU"/>
        </w:rPr>
        <w:t xml:space="preserve">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25.12.2017 № 3298 «О внесении изменения в постановление администрации города Югорска от 31.10.2013 № 3274 </w:t>
      </w:r>
      <w:r w:rsidRPr="005F6CCF">
        <w:rPr>
          <w:bCs/>
          <w:sz w:val="24"/>
          <w:szCs w:val="24"/>
        </w:rPr>
        <w:t>«О муниципальной программе города Югорска «Капитальный ремонт жилищного фонда города Югорска на 2014-2020 годы</w:t>
      </w:r>
      <w:r w:rsidRPr="005F6CCF">
        <w:rPr>
          <w:sz w:val="24"/>
          <w:szCs w:val="24"/>
          <w:lang w:eastAsia="ru-RU"/>
        </w:rPr>
        <w:t xml:space="preserve">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25.12.2017 № 3299 «О внесении изменения в постановление администрации города Югорска от 31.10.2013 № 3274 </w:t>
      </w:r>
      <w:r w:rsidRPr="005F6CCF">
        <w:rPr>
          <w:bCs/>
          <w:sz w:val="24"/>
          <w:szCs w:val="24"/>
        </w:rPr>
        <w:t>«О муниципальной программе города Югорска «Капитальный ремонт жилищного фонда города Югорска на 2014-2020 годы</w:t>
      </w:r>
      <w:r w:rsidRPr="005F6CCF">
        <w:rPr>
          <w:sz w:val="24"/>
          <w:szCs w:val="24"/>
          <w:lang w:eastAsia="ru-RU"/>
        </w:rPr>
        <w:t xml:space="preserve">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- от 12.03.2018 № 719 «О внесении изменений в постановление администрации города Югорска от 31.10.2013 № 3274 </w:t>
      </w:r>
      <w:r w:rsidRPr="005F6CCF">
        <w:rPr>
          <w:bCs/>
          <w:sz w:val="24"/>
          <w:szCs w:val="24"/>
        </w:rPr>
        <w:t>«О муниципальной программе города Югорска «Капитальный ремонт жилищного фонда города Югорска на 2014-2020 годы</w:t>
      </w:r>
      <w:r w:rsidRPr="005F6CCF">
        <w:rPr>
          <w:sz w:val="24"/>
          <w:szCs w:val="24"/>
          <w:lang w:eastAsia="ru-RU"/>
        </w:rPr>
        <w:t>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6CCF">
        <w:rPr>
          <w:bCs/>
          <w:sz w:val="24"/>
          <w:szCs w:val="24"/>
        </w:rPr>
        <w:t>- от 31.10.2013 № 3282 «О муниципальной программе города Югорска «Развитие жилищно-коммунального комплекса в городе Югорске на 2014-2020 годы»;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bCs/>
          <w:sz w:val="24"/>
          <w:szCs w:val="24"/>
        </w:rPr>
        <w:t xml:space="preserve">- </w:t>
      </w:r>
      <w:r w:rsidRPr="005F6CCF">
        <w:rPr>
          <w:sz w:val="24"/>
          <w:szCs w:val="24"/>
        </w:rPr>
        <w:t>от 11.11.2013 № 3518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14.05.2014 № 2091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18.11.2014 № 6241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18.12.2014 № 7168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31.12.2014 № 7437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26.05.2015 № 2136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01.09.2015 № 2913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23.11.2015 № 3405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18.12.2015 № 3647 «О внесении изменения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22.12.2015 № 3729 «О внесении изменений в постановление администрации города Югорска от 31.10.2013 № 3282»;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16.02.2016 № 365 «О внесении изменений в постановление администрации города Югорска от 31.10.2013 № 3282</w:t>
      </w:r>
      <w:r w:rsidRPr="005F6CCF">
        <w:rPr>
          <w:bCs/>
          <w:sz w:val="24"/>
          <w:szCs w:val="24"/>
        </w:rPr>
        <w:t>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17.03.2016 № 577 «О внесении изменений в постановление администрации города Югорска от 31.10.2013 № 3282</w:t>
      </w:r>
      <w:r w:rsidRPr="005F6CCF">
        <w:rPr>
          <w:bCs/>
          <w:sz w:val="24"/>
          <w:szCs w:val="24"/>
        </w:rPr>
        <w:t>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05.05.2016 № 959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13.09.2016 № 2213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23.11.2016 № 2889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lastRenderedPageBreak/>
        <w:t xml:space="preserve">- от 22.12.2016 № 3282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13.04.2017 № 848 «О внесении изменения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04.05.2017 № 995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11.07.2017 № 1672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19.12.2017 № 3218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31.01.2018 № 279 «О внесении изменения в постановление администрации города Югорска от 19.12.2017 № 3218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19.12.2017 № 3219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31.01.2018 № 280 «О внесении изменений в постановление администрации города Югорска от 19.12.2017 № 3219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28.12.2017 № 3353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>- от 05.03.2018 № 643 «О внесении изменений в отдельные постановления администрации города Югорска</w:t>
      </w:r>
      <w:r w:rsidRPr="005F6CCF">
        <w:rPr>
          <w:bCs/>
          <w:sz w:val="24"/>
          <w:szCs w:val="24"/>
        </w:rPr>
        <w:t>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29.03.2018 № 902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23.04.2018 № 1123 «О внесении изменений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6CCF">
        <w:rPr>
          <w:sz w:val="24"/>
          <w:szCs w:val="24"/>
        </w:rPr>
        <w:t xml:space="preserve">- от 13.08.2018 № 2269 «О внесении изменения в постановление администрации города Югорска от 31.10.2013 № 3282 </w:t>
      </w:r>
      <w:r w:rsidRPr="005F6CCF">
        <w:rPr>
          <w:bCs/>
          <w:sz w:val="24"/>
          <w:szCs w:val="24"/>
        </w:rPr>
        <w:t>«О муниципальной программе города Югорска «Развитие жилищно-коммунального комплекса в городе Югорске на 2014-2020 годы»</w:t>
      </w:r>
      <w:r w:rsidRPr="005F6CCF">
        <w:rPr>
          <w:sz w:val="24"/>
          <w:szCs w:val="24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F6CCF">
        <w:rPr>
          <w:bCs/>
          <w:sz w:val="24"/>
          <w:szCs w:val="24"/>
        </w:rPr>
        <w:t>- от 31.10.2013 № 3291 «О муниципальной программе города Югорска «Энергосбережение и повышение энергетической эффективности города Югорска на 2014-2020 годы»;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bCs/>
          <w:sz w:val="24"/>
          <w:szCs w:val="24"/>
        </w:rPr>
        <w:t xml:space="preserve">- </w:t>
      </w:r>
      <w:r w:rsidRPr="005F6CCF">
        <w:rPr>
          <w:rFonts w:eastAsia="Calibri"/>
          <w:sz w:val="24"/>
          <w:szCs w:val="24"/>
          <w:lang w:eastAsia="en-US"/>
        </w:rPr>
        <w:t xml:space="preserve">от 14.04.2014 № 1514 «О внесении изменений в постановление администрации города Югорска от 31.10.2013 № 3291»; 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>- от 18.11.2014 № 6243 «О внесении изменений в постановление администрации города Югорска от 31.10.2013 № 3291»;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>- от 25.11.2014 № 6390 «О внесении изменений в постановление администрации города Югорска от 31.10.2013 № 3291»;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>- от 22.12.2014 № 7222 «О внесении изменений в постановление администрации города Югорска от 31.10.2013 № 3291»;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>- от 26.01.2015 № 258 «О внесении изменений в постановление администрации города Югорска от 31.10.2013 № 3291»;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>- от 01.12.2015 № 3480 «О внесении изменений в постановление администрации города Югорска от 31.10.2013 № 3291»;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lastRenderedPageBreak/>
        <w:t>- от 21.12.2015 № 3698 «О внесении изменения в постановление администрации города Югорска от 31.10.2013 № 3291»;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 xml:space="preserve">- от 23.11.2016 № 2897 «О внесении изменения в постановление администрации города Югорска от 31.10.2013 № 3291 </w:t>
      </w:r>
      <w:r w:rsidRPr="005F6CCF">
        <w:rPr>
          <w:bCs/>
          <w:sz w:val="24"/>
          <w:szCs w:val="24"/>
        </w:rPr>
        <w:t>«О муниципальной программе города Югорска «Энергосбережение и повышение энергетической эффективности города Югорска на 2014-2020 годы»</w:t>
      </w:r>
      <w:r w:rsidRPr="005F6CCF">
        <w:rPr>
          <w:rFonts w:eastAsia="Calibri"/>
          <w:sz w:val="24"/>
          <w:szCs w:val="24"/>
          <w:lang w:eastAsia="en-US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 xml:space="preserve">- от 25.12.2017 № 3295 «О внесении изменения в постановление администрации города Югорска от 31.10.2013 № 3291 </w:t>
      </w:r>
      <w:r w:rsidRPr="005F6CCF">
        <w:rPr>
          <w:bCs/>
          <w:sz w:val="24"/>
          <w:szCs w:val="24"/>
        </w:rPr>
        <w:t>«О муниципальной программе города Югорска «Энергосбережение и повышение энергетической эффективности города Югорска на 2014-2020 годы»</w:t>
      </w:r>
      <w:r w:rsidRPr="005F6CCF">
        <w:rPr>
          <w:rFonts w:eastAsia="Calibri"/>
          <w:sz w:val="24"/>
          <w:szCs w:val="24"/>
          <w:lang w:eastAsia="en-US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 xml:space="preserve">- от 25.12.2017 № 3297 «О внесении изменения в постановление администрации города Югорска от 31.10.2013 № 3291 </w:t>
      </w:r>
      <w:r w:rsidRPr="005F6CCF">
        <w:rPr>
          <w:bCs/>
          <w:sz w:val="24"/>
          <w:szCs w:val="24"/>
        </w:rPr>
        <w:t>«О муниципальной программе города Югорска «Энергосбережение и повышение энергетической эффективности города Югорска на 2014-2020 годы»</w:t>
      </w:r>
      <w:r w:rsidRPr="005F6CCF">
        <w:rPr>
          <w:rFonts w:eastAsia="Calibri"/>
          <w:sz w:val="24"/>
          <w:szCs w:val="24"/>
          <w:lang w:eastAsia="en-US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 xml:space="preserve">- от 03.05.2018 № 1235 «О внесении изменений в постановление администрации города Югорска от 31.10.2013 № 3291 </w:t>
      </w:r>
      <w:r w:rsidRPr="005F6CCF">
        <w:rPr>
          <w:bCs/>
          <w:sz w:val="24"/>
          <w:szCs w:val="24"/>
        </w:rPr>
        <w:t>«О муниципальной программе города Югорска «Энергосбережение и повышение энергетической эффективности города Югорска на 2014-2020 годы»</w:t>
      </w:r>
      <w:r w:rsidRPr="005F6CCF">
        <w:rPr>
          <w:rFonts w:eastAsia="Calibri"/>
          <w:sz w:val="24"/>
          <w:szCs w:val="24"/>
          <w:lang w:eastAsia="en-US"/>
        </w:rPr>
        <w:t>;</w:t>
      </w:r>
    </w:p>
    <w:p w:rsidR="005F6CCF" w:rsidRPr="005F6CCF" w:rsidRDefault="005F6CCF" w:rsidP="005F6CC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F6CCF">
        <w:rPr>
          <w:rFonts w:eastAsia="Calibri"/>
          <w:sz w:val="24"/>
          <w:szCs w:val="24"/>
          <w:lang w:eastAsia="en-US"/>
        </w:rPr>
        <w:t xml:space="preserve">- от 24.09.2018 № 2625  «О внесении изменений в постановление администрации города Югорска от 31.10.2013 № 3291 </w:t>
      </w:r>
      <w:r w:rsidRPr="005F6CCF">
        <w:rPr>
          <w:bCs/>
          <w:sz w:val="24"/>
          <w:szCs w:val="24"/>
        </w:rPr>
        <w:t>«О муниципальной программе города Югорска «Энергосбережение и повышение энергетической эффективности города Югорска на 2014-2020 годы»</w:t>
      </w:r>
      <w:r w:rsidRPr="005F6CCF">
        <w:rPr>
          <w:rFonts w:eastAsia="Calibri"/>
          <w:sz w:val="24"/>
          <w:szCs w:val="24"/>
          <w:lang w:eastAsia="en-US"/>
        </w:rPr>
        <w:t>.</w:t>
      </w:r>
    </w:p>
    <w:p w:rsidR="005F6CCF" w:rsidRPr="005F6CCF" w:rsidRDefault="005F6CCF" w:rsidP="005F6CCF">
      <w:pPr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 xml:space="preserve">3. 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sz w:val="24"/>
          <w:szCs w:val="24"/>
          <w:lang w:eastAsia="ru-RU"/>
        </w:rPr>
        <w:t xml:space="preserve">                          </w:t>
      </w:r>
      <w:r w:rsidRPr="005F6CCF">
        <w:rPr>
          <w:sz w:val="24"/>
          <w:szCs w:val="24"/>
          <w:lang w:eastAsia="ru-RU"/>
        </w:rPr>
        <w:t xml:space="preserve">и </w:t>
      </w:r>
      <w:r w:rsidRPr="005F6CCF">
        <w:rPr>
          <w:bCs/>
          <w:sz w:val="24"/>
          <w:szCs w:val="24"/>
          <w:lang w:eastAsia="ru-RU"/>
        </w:rPr>
        <w:t>в государственной автоматизированной системе «Управление»</w:t>
      </w:r>
      <w:r w:rsidRPr="005F6CCF">
        <w:rPr>
          <w:sz w:val="24"/>
          <w:szCs w:val="24"/>
          <w:lang w:eastAsia="ru-RU"/>
        </w:rPr>
        <w:t xml:space="preserve">. </w:t>
      </w:r>
    </w:p>
    <w:p w:rsidR="005F6CCF" w:rsidRPr="005F6CCF" w:rsidRDefault="005F6CCF" w:rsidP="005F6CCF">
      <w:pPr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>4. Настоящее постановление вступает в силу после</w:t>
      </w:r>
      <w:r w:rsidRPr="005F6CCF">
        <w:rPr>
          <w:color w:val="FF0000"/>
          <w:sz w:val="24"/>
          <w:szCs w:val="24"/>
          <w:lang w:eastAsia="ru-RU"/>
        </w:rPr>
        <w:t xml:space="preserve"> </w:t>
      </w:r>
      <w:r w:rsidRPr="005F6CCF">
        <w:rPr>
          <w:sz w:val="24"/>
          <w:szCs w:val="24"/>
          <w:lang w:eastAsia="ru-RU"/>
        </w:rPr>
        <w:t xml:space="preserve">его официального опубликования, </w:t>
      </w:r>
      <w:r>
        <w:rPr>
          <w:sz w:val="24"/>
          <w:szCs w:val="24"/>
          <w:lang w:eastAsia="ru-RU"/>
        </w:rPr>
        <w:t xml:space="preserve">           </w:t>
      </w:r>
      <w:r w:rsidRPr="005F6CCF">
        <w:rPr>
          <w:sz w:val="24"/>
          <w:szCs w:val="24"/>
          <w:lang w:eastAsia="ru-RU"/>
        </w:rPr>
        <w:t>но не ранее 01.01.2019.</w:t>
      </w:r>
    </w:p>
    <w:p w:rsidR="005F6CCF" w:rsidRPr="005F6CCF" w:rsidRDefault="005F6CCF" w:rsidP="005F6CCF">
      <w:pPr>
        <w:ind w:firstLine="709"/>
        <w:jc w:val="both"/>
        <w:rPr>
          <w:sz w:val="24"/>
          <w:szCs w:val="24"/>
          <w:lang w:eastAsia="ru-RU"/>
        </w:rPr>
      </w:pPr>
      <w:r w:rsidRPr="005F6CCF">
        <w:rPr>
          <w:sz w:val="24"/>
          <w:szCs w:val="24"/>
          <w:lang w:eastAsia="ru-RU"/>
        </w:rPr>
        <w:t>5. </w:t>
      </w:r>
      <w:proofErr w:type="gramStart"/>
      <w:r w:rsidRPr="005F6CCF">
        <w:rPr>
          <w:sz w:val="24"/>
          <w:szCs w:val="24"/>
          <w:lang w:eastAsia="ru-RU"/>
        </w:rPr>
        <w:t>Контроль за</w:t>
      </w:r>
      <w:proofErr w:type="gramEnd"/>
      <w:r w:rsidRPr="005F6CCF">
        <w:rPr>
          <w:sz w:val="24"/>
          <w:szCs w:val="24"/>
          <w:lang w:eastAsia="ru-RU"/>
        </w:rPr>
        <w:t xml:space="preserve"> выполнением постановления возложить на заместителя главы </w:t>
      </w:r>
      <w:r>
        <w:rPr>
          <w:sz w:val="24"/>
          <w:szCs w:val="24"/>
          <w:lang w:eastAsia="ru-RU"/>
        </w:rPr>
        <w:t xml:space="preserve">                 </w:t>
      </w:r>
      <w:r w:rsidRPr="005F6CCF">
        <w:rPr>
          <w:sz w:val="24"/>
          <w:szCs w:val="24"/>
          <w:lang w:eastAsia="ru-RU"/>
        </w:rPr>
        <w:t xml:space="preserve">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5F6CCF">
        <w:rPr>
          <w:sz w:val="24"/>
          <w:szCs w:val="24"/>
          <w:lang w:eastAsia="ru-RU"/>
        </w:rPr>
        <w:t>Бандурина</w:t>
      </w:r>
      <w:proofErr w:type="spellEnd"/>
      <w:r w:rsidRPr="005F6CCF">
        <w:rPr>
          <w:sz w:val="24"/>
          <w:szCs w:val="24"/>
          <w:lang w:eastAsia="ru-RU"/>
        </w:rPr>
        <w:t xml:space="preserve">. </w:t>
      </w:r>
    </w:p>
    <w:p w:rsidR="00256A87" w:rsidRPr="005F6CCF" w:rsidRDefault="00256A87" w:rsidP="005F6CCF">
      <w:pPr>
        <w:ind w:firstLine="709"/>
        <w:jc w:val="both"/>
        <w:rPr>
          <w:sz w:val="24"/>
          <w:szCs w:val="24"/>
        </w:rPr>
      </w:pPr>
    </w:p>
    <w:p w:rsidR="00256A87" w:rsidRDefault="00256A87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F6CCF" w:rsidRPr="00B67A95" w:rsidRDefault="005F6CCF" w:rsidP="005F6C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Default="005F6CCF" w:rsidP="005F6C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5F6CCF" w:rsidRDefault="005F6CCF" w:rsidP="005F6C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F6CCF" w:rsidRDefault="005F6CCF" w:rsidP="005F6CC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F6CCF" w:rsidRPr="00E02C41" w:rsidRDefault="00E02C41" w:rsidP="005F6CC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31 октября 2018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3006</w:t>
      </w:r>
    </w:p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Pr="003E7150" w:rsidRDefault="005F6CCF" w:rsidP="005F6CCF">
      <w:pPr>
        <w:numPr>
          <w:ilvl w:val="0"/>
          <w:numId w:val="1"/>
        </w:numPr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 w:rsidRPr="003E7150">
        <w:rPr>
          <w:b/>
          <w:sz w:val="24"/>
          <w:szCs w:val="24"/>
          <w:lang w:eastAsia="ru-RU"/>
        </w:rPr>
        <w:t xml:space="preserve">Муниципальная программа города Югорска </w:t>
      </w:r>
    </w:p>
    <w:p w:rsidR="005F6CCF" w:rsidRPr="003E7150" w:rsidRDefault="005F6CCF" w:rsidP="005F6CCF">
      <w:pPr>
        <w:numPr>
          <w:ilvl w:val="0"/>
          <w:numId w:val="1"/>
        </w:numPr>
        <w:suppressAutoHyphens w:val="0"/>
        <w:ind w:left="0" w:firstLine="0"/>
        <w:jc w:val="center"/>
        <w:rPr>
          <w:b/>
          <w:sz w:val="24"/>
          <w:szCs w:val="24"/>
          <w:lang w:eastAsia="ru-RU"/>
        </w:rPr>
      </w:pPr>
      <w:r w:rsidRPr="003E7150">
        <w:rPr>
          <w:b/>
          <w:sz w:val="24"/>
          <w:szCs w:val="24"/>
          <w:lang w:eastAsia="ru-RU"/>
        </w:rPr>
        <w:t>«Развитие жилищно-коммунального комплекса и повышение энергетической эффективности»</w:t>
      </w:r>
    </w:p>
    <w:p w:rsidR="005F6CCF" w:rsidRPr="003E7150" w:rsidRDefault="005F6CCF" w:rsidP="005F6CCF">
      <w:pPr>
        <w:numPr>
          <w:ilvl w:val="0"/>
          <w:numId w:val="1"/>
        </w:numPr>
        <w:suppressAutoHyphens w:val="0"/>
        <w:ind w:left="0" w:firstLine="0"/>
        <w:jc w:val="center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(далее – муниципальная программа)</w:t>
      </w:r>
    </w:p>
    <w:p w:rsidR="005F6CCF" w:rsidRPr="003E7150" w:rsidRDefault="005F6CCF" w:rsidP="005F6CCF">
      <w:pPr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</w:p>
    <w:p w:rsidR="005F6CCF" w:rsidRPr="003E7150" w:rsidRDefault="005F6CCF" w:rsidP="005F6CC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eastAsia="ru-RU"/>
        </w:rPr>
      </w:pPr>
      <w:r w:rsidRPr="003E7150">
        <w:rPr>
          <w:b/>
          <w:sz w:val="24"/>
          <w:szCs w:val="24"/>
          <w:lang w:eastAsia="ru-RU"/>
        </w:rPr>
        <w:t xml:space="preserve">Паспорт муниципальной программы </w:t>
      </w:r>
    </w:p>
    <w:p w:rsidR="005F6CCF" w:rsidRPr="003E7150" w:rsidRDefault="005F6CCF" w:rsidP="005F6CCF">
      <w:pPr>
        <w:pStyle w:val="a5"/>
        <w:ind w:left="0"/>
        <w:rPr>
          <w:b/>
          <w:sz w:val="24"/>
          <w:szCs w:val="24"/>
          <w:lang w:eastAsia="ru-RU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6552"/>
      </w:tblGrid>
      <w:tr w:rsidR="005F6CCF" w:rsidRPr="003E7150" w:rsidTr="005F6CCF">
        <w:trPr>
          <w:trHeight w:val="637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Развитие жилищно-коммунального комплекса и повышение энергетической эффективности</w:t>
            </w:r>
          </w:p>
        </w:tc>
      </w:tr>
      <w:tr w:rsidR="005F6CCF" w:rsidRPr="003E7150" w:rsidTr="005F6CCF">
        <w:trPr>
          <w:trHeight w:val="123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ind w:right="34"/>
              <w:jc w:val="both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jc w:val="both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Постановление администрации города Югорска</w:t>
            </w:r>
            <w:r>
              <w:rPr>
                <w:sz w:val="23"/>
                <w:szCs w:val="23"/>
              </w:rPr>
              <w:t xml:space="preserve">                         </w:t>
            </w:r>
            <w:r w:rsidRPr="003E7150">
              <w:rPr>
                <w:sz w:val="23"/>
                <w:szCs w:val="23"/>
              </w:rPr>
              <w:t xml:space="preserve"> </w:t>
            </w:r>
            <w:proofErr w:type="gramStart"/>
            <w:r w:rsidRPr="003E7150"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__________</w:t>
            </w:r>
            <w:r w:rsidRPr="003E7150">
              <w:rPr>
                <w:sz w:val="23"/>
                <w:szCs w:val="23"/>
              </w:rPr>
              <w:t xml:space="preserve"> №</w:t>
            </w:r>
            <w:r>
              <w:rPr>
                <w:sz w:val="23"/>
                <w:szCs w:val="23"/>
              </w:rPr>
              <w:t>_________</w:t>
            </w:r>
            <w:r w:rsidRPr="003E7150">
              <w:rPr>
                <w:sz w:val="23"/>
                <w:szCs w:val="23"/>
              </w:rPr>
              <w:t xml:space="preserve"> «</w:t>
            </w:r>
            <w:proofErr w:type="gramStart"/>
            <w:r w:rsidRPr="003E7150">
              <w:rPr>
                <w:sz w:val="23"/>
                <w:szCs w:val="23"/>
              </w:rPr>
              <w:t>О</w:t>
            </w:r>
            <w:proofErr w:type="gramEnd"/>
            <w:r w:rsidRPr="003E7150">
              <w:rPr>
                <w:sz w:val="23"/>
                <w:szCs w:val="23"/>
              </w:rPr>
              <w:t xml:space="preserve"> муниципальной программе города Югорска «Развитие жилищно-коммунального комплекса и повышение энергетической эффективности»</w:t>
            </w:r>
          </w:p>
        </w:tc>
      </w:tr>
      <w:tr w:rsidR="005F6CCF" w:rsidRPr="003E7150" w:rsidTr="005F6CCF">
        <w:trPr>
          <w:trHeight w:val="644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suppressAutoHyphens w:val="0"/>
              <w:ind w:right="34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suppressAutoHyphens w:val="0"/>
              <w:autoSpaceDE w:val="0"/>
              <w:autoSpaceDN w:val="0"/>
              <w:adjustRightInd w:val="0"/>
              <w:ind w:right="2"/>
              <w:jc w:val="both"/>
              <w:outlineLvl w:val="1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5F6CCF" w:rsidRPr="003E7150" w:rsidTr="005F6CCF">
        <w:trPr>
          <w:trHeight w:val="554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suppressAutoHyphens w:val="0"/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suppressAutoHyphens w:val="0"/>
              <w:ind w:right="2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</w:tr>
      <w:tr w:rsidR="005F6CCF" w:rsidRPr="003E7150" w:rsidTr="005F6CCF">
        <w:trPr>
          <w:trHeight w:val="823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jc w:val="both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  <w:lang w:eastAsia="ru-RU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5F6CCF" w:rsidRPr="003E7150" w:rsidTr="005F6CCF">
        <w:trPr>
          <w:trHeight w:val="1275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Задачи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5F6CCF">
            <w:pPr>
              <w:numPr>
                <w:ilvl w:val="0"/>
                <w:numId w:val="4"/>
              </w:numPr>
              <w:suppressAutoHyphens w:val="0"/>
              <w:ind w:left="0" w:right="2" w:firstLine="360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      </w:r>
            <w:proofErr w:type="spellStart"/>
            <w:r w:rsidRPr="003E7150">
              <w:rPr>
                <w:sz w:val="23"/>
                <w:szCs w:val="23"/>
                <w:lang w:eastAsia="ru-RU"/>
              </w:rPr>
              <w:t>энергоэффективности</w:t>
            </w:r>
            <w:proofErr w:type="spellEnd"/>
            <w:r w:rsidRPr="003E7150">
              <w:rPr>
                <w:sz w:val="23"/>
                <w:szCs w:val="23"/>
                <w:lang w:eastAsia="ru-RU"/>
              </w:rPr>
              <w:t xml:space="preserve"> в отраслях экономики.</w:t>
            </w:r>
          </w:p>
          <w:p w:rsidR="005F6CCF" w:rsidRPr="003E7150" w:rsidRDefault="005F6CCF" w:rsidP="005F6CCF">
            <w:pPr>
              <w:numPr>
                <w:ilvl w:val="0"/>
                <w:numId w:val="4"/>
              </w:numPr>
              <w:suppressAutoHyphens w:val="0"/>
              <w:ind w:left="0" w:right="2" w:firstLine="360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Содействие своевременному проведению ремонта жилищного фонда.</w:t>
            </w:r>
          </w:p>
          <w:p w:rsidR="005F6CCF" w:rsidRPr="003E7150" w:rsidRDefault="005F6CCF" w:rsidP="005F6CCF">
            <w:pPr>
              <w:numPr>
                <w:ilvl w:val="0"/>
                <w:numId w:val="4"/>
              </w:numPr>
              <w:suppressAutoHyphens w:val="0"/>
              <w:ind w:left="0" w:right="2" w:firstLine="360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Повышение уровня информированности населения </w:t>
            </w:r>
            <w:r>
              <w:rPr>
                <w:sz w:val="23"/>
                <w:szCs w:val="23"/>
                <w:lang w:eastAsia="ru-RU"/>
              </w:rPr>
              <w:t xml:space="preserve">                  </w:t>
            </w:r>
            <w:r w:rsidRPr="003E7150">
              <w:rPr>
                <w:sz w:val="23"/>
                <w:szCs w:val="23"/>
                <w:lang w:eastAsia="ru-RU"/>
              </w:rPr>
              <w:t>о мерах, принимаемых в сфере жилищно-коммунального хозяйства, энергосбережения и повышения энергетической эффективности</w:t>
            </w:r>
          </w:p>
        </w:tc>
      </w:tr>
      <w:tr w:rsidR="005F6CCF" w:rsidRPr="003E7150" w:rsidTr="005F6CCF">
        <w:trPr>
          <w:trHeight w:val="33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ind w:right="34"/>
              <w:jc w:val="both"/>
              <w:rPr>
                <w:sz w:val="23"/>
                <w:szCs w:val="23"/>
                <w:lang w:bidi="en-US"/>
              </w:rPr>
            </w:pPr>
            <w:r w:rsidRPr="003E7150">
              <w:rPr>
                <w:sz w:val="23"/>
                <w:szCs w:val="23"/>
                <w:lang w:bidi="en-US"/>
              </w:rPr>
              <w:t>Подпрограммы и (или) основные мероприятия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>ероприятие 1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>ероприятие</w:t>
            </w:r>
            <w:r>
              <w:rPr>
                <w:sz w:val="23"/>
                <w:szCs w:val="23"/>
              </w:rPr>
              <w:t xml:space="preserve"> </w:t>
            </w:r>
            <w:r w:rsidRPr="003E7150">
              <w:rPr>
                <w:sz w:val="23"/>
                <w:szCs w:val="23"/>
              </w:rPr>
              <w:t>2 «Строительство объектов инженерной инфраструктуры на территориях, предназначенных для жилищного строительства».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 xml:space="preserve">ероприятие 3 «Выполнение мероприятий </w:t>
            </w:r>
            <w:r>
              <w:rPr>
                <w:sz w:val="23"/>
                <w:szCs w:val="23"/>
              </w:rPr>
              <w:t xml:space="preserve">                 </w:t>
            </w:r>
            <w:r w:rsidRPr="003E7150">
              <w:rPr>
                <w:sz w:val="23"/>
                <w:szCs w:val="23"/>
              </w:rPr>
              <w:t xml:space="preserve">по консалтинговому обследованию, разработке и (или) актуализации программ, схем и нормативных документов </w:t>
            </w:r>
            <w:r>
              <w:rPr>
                <w:sz w:val="23"/>
                <w:szCs w:val="23"/>
              </w:rPr>
              <w:t xml:space="preserve">                </w:t>
            </w:r>
            <w:r w:rsidRPr="003E7150">
              <w:rPr>
                <w:sz w:val="23"/>
                <w:szCs w:val="23"/>
              </w:rPr>
              <w:t>в сфере жилищно-коммунального комплекса».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>ероприятие 4 «Поддержка мероприятий инвестиционных проектов в сфере жилищно-коммунального комплекса, в том числе энергосберегающих проектов</w:t>
            </w:r>
            <w:r>
              <w:rPr>
                <w:sz w:val="23"/>
                <w:szCs w:val="23"/>
              </w:rPr>
              <w:t xml:space="preserve">                        </w:t>
            </w:r>
            <w:r w:rsidRPr="003E7150">
              <w:rPr>
                <w:sz w:val="23"/>
                <w:szCs w:val="23"/>
              </w:rPr>
              <w:t xml:space="preserve"> в транспортном комплексе, жилищном фонде и муниципальной сфере».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>ероприятие 5 «</w:t>
            </w:r>
            <w:r w:rsidRPr="00280089">
              <w:rPr>
                <w:sz w:val="23"/>
                <w:szCs w:val="23"/>
              </w:rPr>
              <w:t>Предоставление субсидий организациям коммунального комплекса</w:t>
            </w:r>
            <w:r w:rsidRPr="003E7150">
              <w:rPr>
                <w:sz w:val="23"/>
                <w:szCs w:val="23"/>
              </w:rPr>
              <w:t>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Основное м</w:t>
            </w:r>
            <w:r w:rsidRPr="003E7150">
              <w:rPr>
                <w:sz w:val="23"/>
                <w:szCs w:val="23"/>
              </w:rPr>
              <w:t>ероприятие 6 «Организационно-техническое</w:t>
            </w:r>
            <w:r>
              <w:rPr>
                <w:sz w:val="23"/>
                <w:szCs w:val="23"/>
              </w:rPr>
              <w:t xml:space="preserve">             </w:t>
            </w:r>
            <w:r w:rsidRPr="003E7150">
              <w:rPr>
                <w:sz w:val="23"/>
                <w:szCs w:val="23"/>
              </w:rPr>
              <w:t xml:space="preserve"> и финан</w:t>
            </w:r>
            <w:r>
              <w:rPr>
                <w:sz w:val="23"/>
                <w:szCs w:val="23"/>
              </w:rPr>
              <w:t>совое обеспечение деятельности Д</w:t>
            </w:r>
            <w:r w:rsidRPr="003E7150">
              <w:rPr>
                <w:sz w:val="23"/>
                <w:szCs w:val="23"/>
              </w:rPr>
              <w:t>епартамента жилищно-коммунального и строительного комплекса администрации города Югорска».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 xml:space="preserve">ероприятие </w:t>
            </w:r>
            <w:r>
              <w:rPr>
                <w:sz w:val="23"/>
                <w:szCs w:val="23"/>
              </w:rPr>
              <w:t xml:space="preserve">7 </w:t>
            </w:r>
            <w:r w:rsidRPr="003E7150">
              <w:rPr>
                <w:sz w:val="23"/>
                <w:szCs w:val="23"/>
              </w:rPr>
              <w:t>«Муниципальная поддержка</w:t>
            </w:r>
            <w:r>
              <w:rPr>
                <w:sz w:val="23"/>
                <w:szCs w:val="23"/>
              </w:rPr>
              <w:t xml:space="preserve">                </w:t>
            </w:r>
            <w:r w:rsidRPr="003E7150">
              <w:rPr>
                <w:sz w:val="23"/>
                <w:szCs w:val="23"/>
              </w:rPr>
              <w:t xml:space="preserve"> на проведение капитального ремонта многоквартирных домов».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>ероприятие 8 «Ремонт муниципального жилищного фонда».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>ероприятие 9 «</w:t>
            </w:r>
            <w:r w:rsidRPr="003E7150">
              <w:rPr>
                <w:sz w:val="23"/>
                <w:szCs w:val="23"/>
                <w:lang w:eastAsia="ru-RU"/>
              </w:rPr>
              <w:t xml:space="preserve">Приведение в технически исправное состояние жилых домов, использовавшихся </w:t>
            </w:r>
            <w:r>
              <w:rPr>
                <w:sz w:val="23"/>
                <w:szCs w:val="23"/>
                <w:lang w:eastAsia="ru-RU"/>
              </w:rPr>
              <w:t xml:space="preserve">                     </w:t>
            </w:r>
            <w:r w:rsidRPr="003E7150">
              <w:rPr>
                <w:sz w:val="23"/>
                <w:szCs w:val="23"/>
                <w:lang w:eastAsia="ru-RU"/>
              </w:rPr>
              <w:t>до 01.01.2012 в качестве общежитий</w:t>
            </w:r>
            <w:r w:rsidRPr="003E7150">
              <w:rPr>
                <w:sz w:val="23"/>
                <w:szCs w:val="23"/>
              </w:rPr>
              <w:t>».</w:t>
            </w:r>
          </w:p>
          <w:p w:rsidR="005F6CCF" w:rsidRPr="003E7150" w:rsidRDefault="005F6CCF" w:rsidP="007E51D1">
            <w:pPr>
              <w:ind w:firstLine="37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</w:t>
            </w:r>
            <w:r w:rsidRPr="003E7150">
              <w:rPr>
                <w:sz w:val="23"/>
                <w:szCs w:val="23"/>
              </w:rPr>
              <w:t xml:space="preserve">ероприятие 10 «Привлечение населения </w:t>
            </w:r>
            <w:r>
              <w:rPr>
                <w:sz w:val="23"/>
                <w:szCs w:val="23"/>
              </w:rPr>
              <w:t xml:space="preserve">                      </w:t>
            </w:r>
            <w:r w:rsidRPr="003E7150">
              <w:rPr>
                <w:sz w:val="23"/>
                <w:szCs w:val="23"/>
              </w:rPr>
              <w:t xml:space="preserve">к самостоятельному решению вопросов содержания, благоустройства и повышения </w:t>
            </w:r>
            <w:proofErr w:type="spellStart"/>
            <w:r w:rsidRPr="003E7150">
              <w:rPr>
                <w:sz w:val="23"/>
                <w:szCs w:val="23"/>
              </w:rPr>
              <w:t>энергоэффективности</w:t>
            </w:r>
            <w:proofErr w:type="spellEnd"/>
            <w:r w:rsidRPr="003E7150">
              <w:rPr>
                <w:sz w:val="23"/>
                <w:szCs w:val="23"/>
              </w:rPr>
              <w:t xml:space="preserve"> жилищного фонда»</w:t>
            </w:r>
          </w:p>
        </w:tc>
      </w:tr>
      <w:tr w:rsidR="005F6CCF" w:rsidRPr="003E7150" w:rsidTr="005F6CCF">
        <w:trPr>
          <w:trHeight w:val="992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ind w:right="34"/>
              <w:jc w:val="both"/>
              <w:rPr>
                <w:sz w:val="23"/>
                <w:szCs w:val="23"/>
                <w:lang w:bidi="en-US"/>
              </w:rPr>
            </w:pPr>
            <w:r w:rsidRPr="003E7150">
              <w:rPr>
                <w:sz w:val="23"/>
                <w:szCs w:val="23"/>
                <w:lang w:bidi="en-US"/>
              </w:rPr>
              <w:lastRenderedPageBreak/>
              <w:t xml:space="preserve">Наименование портфеля проектов, проекта, направленных, в том числе </w:t>
            </w:r>
            <w:r>
              <w:rPr>
                <w:sz w:val="23"/>
                <w:szCs w:val="23"/>
                <w:lang w:bidi="en-US"/>
              </w:rPr>
              <w:t xml:space="preserve">           </w:t>
            </w:r>
            <w:r w:rsidRPr="003E7150">
              <w:rPr>
                <w:sz w:val="23"/>
                <w:szCs w:val="23"/>
                <w:lang w:bidi="en-US"/>
              </w:rPr>
              <w:t>на реализацию в городе Югорске национальных (программ) Российской Федерации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tabs>
                <w:tab w:val="left" w:pos="798"/>
              </w:tabs>
              <w:jc w:val="both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«Экология»</w:t>
            </w:r>
          </w:p>
        </w:tc>
      </w:tr>
      <w:tr w:rsidR="005F6CCF" w:rsidRPr="003E7150" w:rsidTr="005F6CCF">
        <w:trPr>
          <w:trHeight w:val="283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ind w:right="34"/>
              <w:jc w:val="both"/>
              <w:rPr>
                <w:sz w:val="23"/>
                <w:szCs w:val="23"/>
                <w:lang w:bidi="en-US"/>
              </w:rPr>
            </w:pPr>
            <w:r w:rsidRPr="003E7150">
              <w:rPr>
                <w:sz w:val="23"/>
                <w:szCs w:val="23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Default="005F6CCF" w:rsidP="005F6CC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en-US"/>
              </w:rPr>
              <w:t>Ежегодное обеспечение замены ветхих инженерных сетей тепло-, водоснабжения, водоотведения не менее 2%</w:t>
            </w:r>
            <w:r>
              <w:rPr>
                <w:sz w:val="23"/>
                <w:szCs w:val="23"/>
                <w:lang w:eastAsia="en-US"/>
              </w:rPr>
              <w:t xml:space="preserve">          </w:t>
            </w:r>
            <w:r w:rsidRPr="003E7150">
              <w:rPr>
                <w:sz w:val="23"/>
                <w:szCs w:val="23"/>
                <w:lang w:eastAsia="en-US"/>
              </w:rPr>
              <w:t xml:space="preserve"> от </w:t>
            </w:r>
            <w:r w:rsidRPr="003E7150">
              <w:rPr>
                <w:sz w:val="23"/>
                <w:szCs w:val="23"/>
                <w:lang w:eastAsia="ru-RU"/>
              </w:rPr>
              <w:t>общей протяженности ветхих инженерных сетей тепло-, водоснабжения, водоотведения.</w:t>
            </w:r>
          </w:p>
          <w:p w:rsidR="005F6CCF" w:rsidRDefault="005F6CCF" w:rsidP="005F6CC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A46275">
              <w:rPr>
                <w:sz w:val="23"/>
                <w:szCs w:val="23"/>
                <w:lang w:eastAsia="ru-RU"/>
              </w:rPr>
              <w:t xml:space="preserve">Увеличение </w:t>
            </w:r>
            <w:r w:rsidRPr="00A46275">
              <w:rPr>
                <w:sz w:val="23"/>
                <w:szCs w:val="23"/>
                <w:lang w:eastAsia="en-US"/>
              </w:rPr>
              <w:t>площади земельных участков, обеспеченных инженерными сетями водоотведения с 758,34 га до 834,73 га.</w:t>
            </w:r>
          </w:p>
          <w:p w:rsidR="005F6CCF" w:rsidRPr="00A46275" w:rsidRDefault="005F6CCF" w:rsidP="005F6CCF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A46275">
              <w:rPr>
                <w:sz w:val="23"/>
                <w:szCs w:val="23"/>
                <w:lang w:eastAsia="ru-RU"/>
              </w:rPr>
              <w:t xml:space="preserve">Увеличение </w:t>
            </w:r>
            <w:r w:rsidRPr="00A46275">
              <w:rPr>
                <w:sz w:val="23"/>
                <w:szCs w:val="23"/>
                <w:lang w:eastAsia="en-US"/>
              </w:rPr>
              <w:t>площади земельных участков, обеспеченных инженерными сетями газоснабжения с 1071,96 га до 1127,47 га.</w:t>
            </w:r>
          </w:p>
          <w:p w:rsidR="005F6CCF" w:rsidRPr="003E7150" w:rsidRDefault="005F6CCF" w:rsidP="005F6CC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Количество выполненных</w:t>
            </w:r>
            <w:r w:rsidRPr="003E7150">
              <w:rPr>
                <w:sz w:val="23"/>
                <w:szCs w:val="23"/>
                <w:lang w:eastAsia="ru-RU"/>
              </w:rPr>
              <w:t xml:space="preserve"> мероприятий </w:t>
            </w:r>
            <w:r>
              <w:rPr>
                <w:sz w:val="23"/>
                <w:szCs w:val="23"/>
                <w:lang w:eastAsia="ru-RU"/>
              </w:rPr>
              <w:t xml:space="preserve">                                 </w:t>
            </w:r>
            <w:r w:rsidRPr="003E7150">
              <w:rPr>
                <w:sz w:val="23"/>
                <w:szCs w:val="23"/>
                <w:lang w:eastAsia="ru-RU"/>
              </w:rPr>
              <w:t>по консалтинговому обследованию, разработке и (или) актуализации программ, схем и нормативных документов</w:t>
            </w:r>
            <w:r>
              <w:rPr>
                <w:sz w:val="23"/>
                <w:szCs w:val="23"/>
                <w:lang w:eastAsia="ru-RU"/>
              </w:rPr>
              <w:t xml:space="preserve">               </w:t>
            </w:r>
            <w:r w:rsidRPr="003E7150">
              <w:rPr>
                <w:sz w:val="23"/>
                <w:szCs w:val="23"/>
                <w:lang w:eastAsia="ru-RU"/>
              </w:rPr>
              <w:t xml:space="preserve"> в сфере </w:t>
            </w:r>
            <w:r>
              <w:rPr>
                <w:sz w:val="23"/>
                <w:szCs w:val="23"/>
                <w:lang w:eastAsia="ru-RU"/>
              </w:rPr>
              <w:t>жилищно-коммунального комплекса,</w:t>
            </w:r>
            <w:r w:rsidRPr="003E7150">
              <w:rPr>
                <w:sz w:val="23"/>
                <w:szCs w:val="23"/>
                <w:lang w:eastAsia="ru-RU"/>
              </w:rPr>
              <w:t xml:space="preserve"> не менее 1 в год.</w:t>
            </w:r>
          </w:p>
          <w:p w:rsidR="005F6CCF" w:rsidRPr="003E7150" w:rsidRDefault="005F6CCF" w:rsidP="005F6CCF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Увеличение количества реализуемых инвестиционных проектов в сфере жилищно-коммунального комплекса, в том числе на основе концессионных соглашений </w:t>
            </w:r>
            <w:r>
              <w:rPr>
                <w:sz w:val="23"/>
                <w:szCs w:val="23"/>
                <w:lang w:eastAsia="ru-RU"/>
              </w:rPr>
              <w:t xml:space="preserve">                                   </w:t>
            </w:r>
            <w:r w:rsidRPr="003E7150">
              <w:rPr>
                <w:sz w:val="23"/>
                <w:szCs w:val="23"/>
                <w:lang w:eastAsia="ru-RU"/>
              </w:rPr>
              <w:t>и энергосберегающих проектов в транспортном комплексе, жилищном фонде и муниципальной сфере с 1 до 2.</w:t>
            </w:r>
          </w:p>
          <w:p w:rsidR="005F6CCF" w:rsidRPr="003E7150" w:rsidRDefault="005F6CCF" w:rsidP="005F6CCF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Снижение количества потребляемого сжиженного газа </w:t>
            </w:r>
            <w:r>
              <w:rPr>
                <w:sz w:val="23"/>
                <w:szCs w:val="23"/>
                <w:lang w:eastAsia="ru-RU"/>
              </w:rPr>
              <w:t xml:space="preserve">            </w:t>
            </w:r>
            <w:r w:rsidRPr="003E7150">
              <w:rPr>
                <w:sz w:val="23"/>
                <w:szCs w:val="23"/>
                <w:lang w:eastAsia="ru-RU"/>
              </w:rPr>
              <w:t>с 3818 кг до 3140 кг.</w:t>
            </w:r>
          </w:p>
          <w:p w:rsidR="005F6CCF" w:rsidRPr="003E7150" w:rsidRDefault="005F6CCF" w:rsidP="005F6CCF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32" w:firstLine="328"/>
              <w:jc w:val="both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en-US"/>
              </w:rPr>
              <w:t xml:space="preserve">Сохранение доли </w:t>
            </w:r>
            <w:r w:rsidRPr="00A46275">
              <w:rPr>
                <w:sz w:val="23"/>
                <w:szCs w:val="23"/>
                <w:lang w:eastAsia="en-US"/>
              </w:rPr>
              <w:t xml:space="preserve">многоквартирных домов, в которых проведен капитальный ремонт в соответствии </w:t>
            </w:r>
            <w:r>
              <w:rPr>
                <w:sz w:val="23"/>
                <w:szCs w:val="23"/>
                <w:lang w:eastAsia="en-US"/>
              </w:rPr>
              <w:t xml:space="preserve">                                    </w:t>
            </w:r>
            <w:r w:rsidRPr="00A46275">
              <w:rPr>
                <w:sz w:val="23"/>
                <w:szCs w:val="23"/>
                <w:lang w:eastAsia="en-US"/>
              </w:rPr>
              <w:t>с краткосрочными планами реализации программы капитального ремонта общего имущества в многоквартирных домах</w:t>
            </w:r>
            <w:r>
              <w:rPr>
                <w:sz w:val="23"/>
                <w:szCs w:val="23"/>
                <w:lang w:eastAsia="en-US"/>
              </w:rPr>
              <w:t>, на уровне</w:t>
            </w:r>
            <w:r w:rsidRPr="003E7150">
              <w:rPr>
                <w:sz w:val="23"/>
                <w:szCs w:val="23"/>
                <w:lang w:eastAsia="en-US"/>
              </w:rPr>
              <w:t xml:space="preserve"> 100 %</w:t>
            </w:r>
            <w:r w:rsidRPr="003E7150">
              <w:rPr>
                <w:sz w:val="23"/>
                <w:szCs w:val="23"/>
                <w:lang w:eastAsia="ru-RU"/>
              </w:rPr>
              <w:t>.</w:t>
            </w:r>
          </w:p>
          <w:p w:rsidR="005F6CCF" w:rsidRPr="003E7150" w:rsidRDefault="005F6CCF" w:rsidP="005F6CCF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Увеличение количества квартир, находящихся </w:t>
            </w:r>
            <w:r>
              <w:rPr>
                <w:sz w:val="23"/>
                <w:szCs w:val="23"/>
                <w:lang w:eastAsia="ru-RU"/>
              </w:rPr>
              <w:t xml:space="preserve">                        </w:t>
            </w:r>
            <w:r w:rsidRPr="003E7150">
              <w:rPr>
                <w:sz w:val="23"/>
                <w:szCs w:val="23"/>
                <w:lang w:eastAsia="ru-RU"/>
              </w:rPr>
              <w:t>в муниципальной собственности, в которых проведен ремонт, с 129 до 169.</w:t>
            </w:r>
          </w:p>
          <w:p w:rsidR="005F6CCF" w:rsidRPr="003E7150" w:rsidRDefault="005F6CCF" w:rsidP="005F6CCF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0" w:firstLine="360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Увеличение </w:t>
            </w:r>
            <w:r>
              <w:rPr>
                <w:sz w:val="23"/>
                <w:szCs w:val="23"/>
                <w:lang w:eastAsia="ru-RU"/>
              </w:rPr>
              <w:t xml:space="preserve">доли площади </w:t>
            </w:r>
            <w:r w:rsidRPr="003E7150">
              <w:rPr>
                <w:sz w:val="23"/>
                <w:szCs w:val="23"/>
                <w:lang w:eastAsia="ru-RU"/>
              </w:rPr>
              <w:t xml:space="preserve">общего имущества в жилых домах, использовавшихся до 01.01.2012 в качестве общежитий, приведенного в технически исправное состояние, с 20,5% </w:t>
            </w:r>
            <w:r>
              <w:rPr>
                <w:sz w:val="23"/>
                <w:szCs w:val="23"/>
                <w:lang w:eastAsia="ru-RU"/>
              </w:rPr>
              <w:t xml:space="preserve">                </w:t>
            </w:r>
            <w:r w:rsidRPr="003E7150">
              <w:rPr>
                <w:sz w:val="23"/>
                <w:szCs w:val="23"/>
                <w:lang w:eastAsia="ru-RU"/>
              </w:rPr>
              <w:t>до 44,5%.</w:t>
            </w:r>
          </w:p>
          <w:p w:rsidR="005F6CCF" w:rsidRPr="003E7150" w:rsidRDefault="005F6CCF" w:rsidP="005F6CCF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89" w:firstLine="27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Увеличение </w:t>
            </w:r>
            <w:r>
              <w:rPr>
                <w:sz w:val="23"/>
                <w:szCs w:val="23"/>
                <w:lang w:eastAsia="ru-RU"/>
              </w:rPr>
              <w:t xml:space="preserve">количества </w:t>
            </w:r>
            <w:r w:rsidRPr="003E7150">
              <w:rPr>
                <w:sz w:val="23"/>
                <w:szCs w:val="23"/>
                <w:lang w:eastAsia="ru-RU"/>
              </w:rPr>
              <w:t xml:space="preserve">проведенных мероприятий </w:t>
            </w:r>
            <w:r>
              <w:rPr>
                <w:sz w:val="23"/>
                <w:szCs w:val="23"/>
                <w:lang w:eastAsia="ru-RU"/>
              </w:rPr>
              <w:t xml:space="preserve">              </w:t>
            </w:r>
            <w:r w:rsidRPr="003E7150">
              <w:rPr>
                <w:sz w:val="23"/>
                <w:szCs w:val="23"/>
                <w:lang w:eastAsia="ru-RU"/>
              </w:rPr>
              <w:t xml:space="preserve">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3E7150">
              <w:rPr>
                <w:sz w:val="23"/>
                <w:szCs w:val="23"/>
                <w:lang w:eastAsia="ru-RU"/>
              </w:rPr>
              <w:lastRenderedPageBreak/>
              <w:t>энергоэффективности</w:t>
            </w:r>
            <w:proofErr w:type="spellEnd"/>
            <w:r w:rsidRPr="003E7150">
              <w:rPr>
                <w:sz w:val="23"/>
                <w:szCs w:val="23"/>
                <w:lang w:eastAsia="ru-RU"/>
              </w:rPr>
              <w:t xml:space="preserve"> жилищного фонда с 6 до 9</w:t>
            </w:r>
          </w:p>
        </w:tc>
      </w:tr>
      <w:tr w:rsidR="005F6CCF" w:rsidRPr="003E7150" w:rsidTr="005F6CCF">
        <w:trPr>
          <w:trHeight w:val="568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2019 – 2025 годы и период до 2030 года</w:t>
            </w:r>
          </w:p>
        </w:tc>
      </w:tr>
      <w:tr w:rsidR="005F6CCF" w:rsidRPr="003E7150" w:rsidTr="005F6CCF">
        <w:trPr>
          <w:cantSplit/>
          <w:trHeight w:val="809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>Параметры финансового обеспечения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Общий объем финансирования муниципальной программы </w:t>
            </w:r>
            <w:r>
              <w:rPr>
                <w:sz w:val="23"/>
                <w:szCs w:val="23"/>
                <w:lang w:eastAsia="ru-RU"/>
              </w:rPr>
              <w:t>–</w:t>
            </w:r>
            <w:r w:rsidRPr="003E7150">
              <w:rPr>
                <w:sz w:val="23"/>
                <w:szCs w:val="23"/>
                <w:lang w:eastAsia="ru-RU"/>
              </w:rPr>
              <w:t xml:space="preserve"> </w:t>
            </w:r>
            <w:r>
              <w:rPr>
                <w:sz w:val="23"/>
                <w:szCs w:val="23"/>
                <w:lang w:eastAsia="ru-RU"/>
              </w:rPr>
              <w:t>1 344 215,50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руб., в том числе: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2019 год – 249 678,10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2020 год – 128 179,40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2021 год – </w:t>
            </w:r>
            <w:r>
              <w:rPr>
                <w:sz w:val="23"/>
                <w:szCs w:val="23"/>
                <w:lang w:eastAsia="ru-RU"/>
              </w:rPr>
              <w:t>96 635,80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2022 год – </w:t>
            </w:r>
            <w:r>
              <w:rPr>
                <w:sz w:val="23"/>
                <w:szCs w:val="23"/>
                <w:lang w:eastAsia="ru-RU"/>
              </w:rPr>
              <w:t>96 635,80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2023 год – </w:t>
            </w:r>
            <w:r>
              <w:rPr>
                <w:sz w:val="23"/>
                <w:szCs w:val="23"/>
                <w:lang w:eastAsia="ru-RU"/>
              </w:rPr>
              <w:t>96 635,80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2024 год – </w:t>
            </w:r>
            <w:r>
              <w:rPr>
                <w:sz w:val="23"/>
                <w:szCs w:val="23"/>
                <w:lang w:eastAsia="ru-RU"/>
              </w:rPr>
              <w:t>96 635,80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2025 год – </w:t>
            </w:r>
            <w:r>
              <w:rPr>
                <w:sz w:val="23"/>
                <w:szCs w:val="23"/>
                <w:lang w:eastAsia="ru-RU"/>
              </w:rPr>
              <w:t>96 635,80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</w:t>
            </w:r>
          </w:p>
          <w:p w:rsidR="005F6CCF" w:rsidRPr="00152A89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в 2026-2030 годах – </w:t>
            </w:r>
            <w:r>
              <w:rPr>
                <w:sz w:val="23"/>
                <w:szCs w:val="23"/>
                <w:lang w:eastAsia="ru-RU"/>
              </w:rPr>
              <w:t>483 179,00</w:t>
            </w:r>
            <w:r w:rsidRPr="003E7150">
              <w:rPr>
                <w:sz w:val="23"/>
                <w:szCs w:val="23"/>
                <w:lang w:eastAsia="ru-RU"/>
              </w:rPr>
              <w:t xml:space="preserve"> тыс. руб.</w:t>
            </w:r>
          </w:p>
        </w:tc>
      </w:tr>
      <w:tr w:rsidR="005F6CCF" w:rsidRPr="003E7150" w:rsidTr="005F6CCF">
        <w:trPr>
          <w:cantSplit/>
          <w:trHeight w:val="2117"/>
        </w:trPr>
        <w:tc>
          <w:tcPr>
            <w:tcW w:w="16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3"/>
                <w:szCs w:val="23"/>
              </w:rPr>
            </w:pPr>
            <w:r w:rsidRPr="003E7150">
              <w:rPr>
                <w:sz w:val="23"/>
                <w:szCs w:val="23"/>
              </w:rPr>
              <w:t xml:space="preserve">Параметры финансового обеспечения портфеля проектов, проекта, </w:t>
            </w:r>
            <w:r w:rsidRPr="003E7150">
              <w:rPr>
                <w:sz w:val="23"/>
                <w:szCs w:val="23"/>
                <w:lang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 xml:space="preserve">Общий объем финансирования </w:t>
            </w:r>
            <w:r w:rsidRPr="003E7150">
              <w:rPr>
                <w:sz w:val="23"/>
                <w:szCs w:val="23"/>
              </w:rPr>
              <w:t xml:space="preserve">национального проекта Российской Федерации «Экология» </w:t>
            </w:r>
            <w:r w:rsidRPr="003E7150">
              <w:rPr>
                <w:sz w:val="23"/>
                <w:szCs w:val="23"/>
                <w:lang w:eastAsia="ru-RU"/>
              </w:rPr>
              <w:t xml:space="preserve">- 67 578,00 тыс. руб., </w:t>
            </w:r>
            <w:r>
              <w:rPr>
                <w:sz w:val="23"/>
                <w:szCs w:val="23"/>
                <w:lang w:eastAsia="ru-RU"/>
              </w:rPr>
              <w:t xml:space="preserve">                   </w:t>
            </w:r>
            <w:r w:rsidRPr="003E7150">
              <w:rPr>
                <w:sz w:val="23"/>
                <w:szCs w:val="23"/>
                <w:lang w:eastAsia="ru-RU"/>
              </w:rPr>
              <w:t>в том числе: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2019 год – 67 578,00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2020 год – 0,00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2021 год – 0,00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2022 год – 0,00 тыс. руб.</w:t>
            </w:r>
          </w:p>
          <w:p w:rsidR="005F6CCF" w:rsidRPr="003E7150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2023 год – 0,00 тыс. руб.</w:t>
            </w:r>
          </w:p>
          <w:p w:rsidR="005F6CCF" w:rsidRPr="007C79F4" w:rsidRDefault="005F6CCF" w:rsidP="007E51D1">
            <w:pPr>
              <w:tabs>
                <w:tab w:val="left" w:pos="284"/>
              </w:tabs>
              <w:suppressAutoHyphens w:val="0"/>
              <w:ind w:firstLine="11"/>
              <w:jc w:val="both"/>
              <w:rPr>
                <w:sz w:val="23"/>
                <w:szCs w:val="23"/>
                <w:lang w:eastAsia="ru-RU"/>
              </w:rPr>
            </w:pPr>
            <w:r w:rsidRPr="003E7150">
              <w:rPr>
                <w:sz w:val="23"/>
                <w:szCs w:val="23"/>
                <w:lang w:eastAsia="ru-RU"/>
              </w:rPr>
              <w:t>2024 год – 0,00 тыс. руб.</w:t>
            </w:r>
          </w:p>
        </w:tc>
      </w:tr>
    </w:tbl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Pr="003E7150" w:rsidRDefault="005F6CCF" w:rsidP="005F6CCF">
      <w:pPr>
        <w:jc w:val="center"/>
        <w:rPr>
          <w:b/>
          <w:sz w:val="24"/>
          <w:szCs w:val="24"/>
        </w:rPr>
      </w:pPr>
      <w:r w:rsidRPr="003E7150">
        <w:rPr>
          <w:b/>
          <w:sz w:val="24"/>
          <w:szCs w:val="24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5F6CCF" w:rsidRPr="003E7150" w:rsidRDefault="005F6CCF" w:rsidP="005F6CCF">
      <w:pPr>
        <w:ind w:firstLine="709"/>
        <w:jc w:val="center"/>
        <w:rPr>
          <w:b/>
          <w:sz w:val="24"/>
          <w:szCs w:val="24"/>
        </w:rPr>
      </w:pPr>
    </w:p>
    <w:p w:rsidR="005F6CCF" w:rsidRPr="003E7150" w:rsidRDefault="005F6CCF" w:rsidP="005F6CCF">
      <w:pPr>
        <w:numPr>
          <w:ilvl w:val="1"/>
          <w:numId w:val="7"/>
        </w:numPr>
        <w:ind w:left="0" w:firstLine="0"/>
        <w:jc w:val="center"/>
        <w:rPr>
          <w:b/>
          <w:sz w:val="24"/>
          <w:szCs w:val="24"/>
        </w:rPr>
      </w:pPr>
      <w:r w:rsidRPr="003E7150">
        <w:rPr>
          <w:b/>
          <w:sz w:val="24"/>
          <w:szCs w:val="24"/>
        </w:rPr>
        <w:t>Формирование благоприятной деловой среды</w:t>
      </w:r>
    </w:p>
    <w:p w:rsidR="005F6CCF" w:rsidRPr="003E7150" w:rsidRDefault="005F6CCF" w:rsidP="005F6CCF">
      <w:pPr>
        <w:ind w:left="1429"/>
        <w:rPr>
          <w:b/>
          <w:sz w:val="24"/>
          <w:szCs w:val="24"/>
        </w:rPr>
      </w:pPr>
    </w:p>
    <w:p w:rsidR="005F6CCF" w:rsidRPr="003E7150" w:rsidRDefault="005F6CCF" w:rsidP="005F6CCF">
      <w:pPr>
        <w:ind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Для повышения эффективности администрирования и управления коммунальными организациями в городе Югорске планируется проведение мероприятий по передаче частным операторам имущественного комплекса данных организаций. </w:t>
      </w:r>
    </w:p>
    <w:p w:rsidR="005F6CCF" w:rsidRPr="003E7150" w:rsidRDefault="005F6CCF" w:rsidP="005F6CCF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7150"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Ханты-Мансийского автономного округа - Югры от 23.01.2015 № 12-рп «О комплексе мер («дорожной карте») по развитию жилищно-коммунального комплекса Ханты-Мансийского автономного округа – Югры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E7150">
        <w:rPr>
          <w:rFonts w:ascii="Times New Roman" w:hAnsi="Times New Roman"/>
          <w:sz w:val="24"/>
          <w:szCs w:val="24"/>
        </w:rPr>
        <w:t>на 2017-2020 годы» в городе Югорске</w:t>
      </w:r>
      <w:r w:rsidRPr="003E7150">
        <w:rPr>
          <w:rFonts w:ascii="Times New Roman" w:hAnsi="Times New Roman"/>
          <w:sz w:val="24"/>
          <w:szCs w:val="24"/>
          <w:shd w:val="clear" w:color="auto" w:fill="FFFFFF"/>
        </w:rPr>
        <w:t xml:space="preserve"> утверждена «дорожная карта» по заключению концессионного соглашения в отношении объектов тепло-, водоснабжения и водоотведения, находящихся в муниципальной собственности. В 2018 году распоряжением администрации города создана рабочая группа по заключению концессионных соглашений. Сформирован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</w:t>
      </w:r>
      <w:r w:rsidRPr="003E7150">
        <w:rPr>
          <w:rFonts w:ascii="Times New Roman" w:hAnsi="Times New Roman"/>
          <w:sz w:val="24"/>
          <w:szCs w:val="24"/>
          <w:shd w:val="clear" w:color="auto" w:fill="FFFFFF"/>
        </w:rPr>
        <w:t xml:space="preserve">и утвержден постановлением администрации города Югорска перечень объектов, планируемых передать в концессию в 2018 году. </w:t>
      </w: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proofErr w:type="gramStart"/>
      <w:r w:rsidRPr="003E7150">
        <w:rPr>
          <w:sz w:val="24"/>
          <w:szCs w:val="24"/>
        </w:rPr>
        <w:t xml:space="preserve">В целях формирования благоприятной деловой среды, привлечения частных инвестиций в сферу жилищно-коммунального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</w:t>
      </w:r>
      <w:r>
        <w:rPr>
          <w:sz w:val="24"/>
          <w:szCs w:val="24"/>
        </w:rPr>
        <w:t xml:space="preserve">Ханты-Мансийского </w:t>
      </w:r>
      <w:r w:rsidRPr="003E7150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- Югры</w:t>
      </w:r>
      <w:r w:rsidRPr="003E7150">
        <w:rPr>
          <w:sz w:val="24"/>
          <w:szCs w:val="24"/>
        </w:rPr>
        <w:t xml:space="preserve"> и города Югорска </w:t>
      </w:r>
      <w:r>
        <w:rPr>
          <w:sz w:val="24"/>
          <w:szCs w:val="24"/>
        </w:rPr>
        <w:t xml:space="preserve">               </w:t>
      </w:r>
      <w:r w:rsidRPr="003E7150">
        <w:rPr>
          <w:sz w:val="24"/>
          <w:szCs w:val="24"/>
        </w:rPr>
        <w:t xml:space="preserve">на создание, реконструкцию, модернизацию объектов коммунальной инфраструктуры </w:t>
      </w:r>
      <w:r>
        <w:rPr>
          <w:sz w:val="24"/>
          <w:szCs w:val="24"/>
        </w:rPr>
        <w:t xml:space="preserve">                      </w:t>
      </w:r>
      <w:r w:rsidRPr="003E7150">
        <w:rPr>
          <w:sz w:val="24"/>
          <w:szCs w:val="24"/>
        </w:rPr>
        <w:t xml:space="preserve">или на возмещение затрат (в части эксплуатационных расходов), понесенных концессионером </w:t>
      </w:r>
      <w:r>
        <w:rPr>
          <w:sz w:val="24"/>
          <w:szCs w:val="24"/>
        </w:rPr>
        <w:t xml:space="preserve"> </w:t>
      </w:r>
      <w:r w:rsidRPr="003E7150">
        <w:rPr>
          <w:sz w:val="24"/>
          <w:szCs w:val="24"/>
        </w:rPr>
        <w:t>в процессе реализации концессионного соглашения.</w:t>
      </w:r>
      <w:proofErr w:type="gramEnd"/>
    </w:p>
    <w:p w:rsidR="005F6CCF" w:rsidRPr="003E7150" w:rsidRDefault="005F6CCF" w:rsidP="005F6CCF">
      <w:pPr>
        <w:jc w:val="center"/>
        <w:rPr>
          <w:b/>
          <w:sz w:val="24"/>
          <w:szCs w:val="24"/>
        </w:rPr>
      </w:pPr>
    </w:p>
    <w:p w:rsidR="005F6CCF" w:rsidRDefault="005F6CCF" w:rsidP="005F6CCF">
      <w:pPr>
        <w:jc w:val="center"/>
        <w:rPr>
          <w:b/>
          <w:sz w:val="24"/>
          <w:szCs w:val="24"/>
        </w:rPr>
      </w:pPr>
      <w:r w:rsidRPr="003E7150">
        <w:rPr>
          <w:b/>
          <w:sz w:val="24"/>
          <w:szCs w:val="24"/>
        </w:rPr>
        <w:t>1.2.</w:t>
      </w:r>
      <w:r w:rsidRPr="003E7150">
        <w:rPr>
          <w:b/>
          <w:sz w:val="24"/>
          <w:szCs w:val="24"/>
        </w:rPr>
        <w:tab/>
        <w:t>Инвестиционные проекты</w:t>
      </w:r>
    </w:p>
    <w:p w:rsidR="005F6CCF" w:rsidRPr="003E7150" w:rsidRDefault="005F6CCF" w:rsidP="005F6CCF">
      <w:pPr>
        <w:jc w:val="center"/>
        <w:rPr>
          <w:b/>
          <w:sz w:val="24"/>
          <w:szCs w:val="24"/>
        </w:rPr>
      </w:pP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 xml:space="preserve">Для снижения потребления электрической энергии при эксплуатации объектов наружного освещения в городе Югорске в 2014 году было принято решение о проведении </w:t>
      </w:r>
      <w:proofErr w:type="spellStart"/>
      <w:r w:rsidRPr="003E7150">
        <w:rPr>
          <w:sz w:val="24"/>
          <w:szCs w:val="24"/>
        </w:rPr>
        <w:t>энергосервисных</w:t>
      </w:r>
      <w:proofErr w:type="spellEnd"/>
      <w:r w:rsidRPr="003E7150">
        <w:rPr>
          <w:sz w:val="24"/>
          <w:szCs w:val="24"/>
        </w:rPr>
        <w:t xml:space="preserve"> мероприятий.</w:t>
      </w:r>
    </w:p>
    <w:p w:rsidR="005F6CCF" w:rsidRPr="003E7150" w:rsidRDefault="005F6CCF" w:rsidP="005F6CCF">
      <w:pPr>
        <w:ind w:firstLine="709"/>
        <w:jc w:val="both"/>
        <w:rPr>
          <w:i/>
          <w:sz w:val="16"/>
          <w:szCs w:val="16"/>
        </w:rPr>
      </w:pPr>
      <w:r w:rsidRPr="003E7150">
        <w:rPr>
          <w:sz w:val="24"/>
          <w:szCs w:val="24"/>
        </w:rPr>
        <w:t xml:space="preserve">На первом этапе подготовки к заключению </w:t>
      </w:r>
      <w:proofErr w:type="spellStart"/>
      <w:r w:rsidRPr="003E7150">
        <w:rPr>
          <w:sz w:val="24"/>
          <w:szCs w:val="24"/>
        </w:rPr>
        <w:t>энергосервисного</w:t>
      </w:r>
      <w:proofErr w:type="spellEnd"/>
      <w:r w:rsidRPr="003E7150">
        <w:rPr>
          <w:sz w:val="24"/>
          <w:szCs w:val="24"/>
        </w:rPr>
        <w:t xml:space="preserve"> контракта администрацией города </w:t>
      </w:r>
      <w:r>
        <w:rPr>
          <w:sz w:val="24"/>
          <w:szCs w:val="24"/>
        </w:rPr>
        <w:t xml:space="preserve">Югорска </w:t>
      </w:r>
      <w:r w:rsidRPr="003E7150">
        <w:rPr>
          <w:sz w:val="24"/>
          <w:szCs w:val="24"/>
        </w:rPr>
        <w:t xml:space="preserve">был разработан план мероприятий, в соответствии с которым проведена инвентаризация объектов уличного освещения. В связи с тем, что подготовка длилась более </w:t>
      </w:r>
      <w:r w:rsidRPr="003E7150">
        <w:rPr>
          <w:sz w:val="24"/>
          <w:szCs w:val="24"/>
        </w:rPr>
        <w:lastRenderedPageBreak/>
        <w:t>двух лет, инвентаризация проводилась несколько раз. В результате проделанной работы актуализирована информация по количеству светильников, установленной мощности, расположению светильников по улицам и произведен анализ потребления электроэнергии</w:t>
      </w:r>
      <w:r>
        <w:rPr>
          <w:sz w:val="24"/>
          <w:szCs w:val="24"/>
        </w:rPr>
        <w:t xml:space="preserve">            </w:t>
      </w:r>
      <w:r w:rsidRPr="003E7150">
        <w:rPr>
          <w:sz w:val="24"/>
          <w:szCs w:val="24"/>
        </w:rPr>
        <w:t xml:space="preserve"> по факту и по установленной мощности.</w:t>
      </w:r>
      <w:r w:rsidRPr="003E7150">
        <w:rPr>
          <w:sz w:val="24"/>
          <w:szCs w:val="24"/>
        </w:rPr>
        <w:tab/>
        <w:t xml:space="preserve">На следующем этапе была разработана конкурсная документация на право заключения </w:t>
      </w:r>
      <w:proofErr w:type="spellStart"/>
      <w:r w:rsidRPr="003E7150">
        <w:rPr>
          <w:sz w:val="24"/>
          <w:szCs w:val="24"/>
        </w:rPr>
        <w:t>энергосервисного</w:t>
      </w:r>
      <w:proofErr w:type="spellEnd"/>
      <w:r w:rsidRPr="003E7150">
        <w:rPr>
          <w:sz w:val="24"/>
          <w:szCs w:val="24"/>
        </w:rPr>
        <w:t xml:space="preserve"> контракта.</w:t>
      </w:r>
      <w:r w:rsidRPr="003E7150">
        <w:rPr>
          <w:sz w:val="24"/>
          <w:szCs w:val="24"/>
        </w:rPr>
        <w:tab/>
        <w:t xml:space="preserve"> В целях реализации концепции «Бережливый регион», в апреле 2017 года между администрацией города Югорска</w:t>
      </w:r>
      <w:r>
        <w:rPr>
          <w:sz w:val="24"/>
          <w:szCs w:val="24"/>
        </w:rPr>
        <w:t xml:space="preserve"> </w:t>
      </w:r>
      <w:r w:rsidRPr="003E715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публичным акционерным обществом </w:t>
      </w:r>
      <w:r w:rsidRPr="003E7150">
        <w:rPr>
          <w:sz w:val="24"/>
          <w:szCs w:val="24"/>
        </w:rPr>
        <w:t xml:space="preserve">«Ростелеком» заключен  </w:t>
      </w:r>
      <w:proofErr w:type="spellStart"/>
      <w:r w:rsidRPr="003E7150">
        <w:rPr>
          <w:sz w:val="24"/>
          <w:szCs w:val="24"/>
        </w:rPr>
        <w:t>энергосервисный</w:t>
      </w:r>
      <w:proofErr w:type="spellEnd"/>
      <w:r w:rsidRPr="003E7150">
        <w:rPr>
          <w:sz w:val="24"/>
          <w:szCs w:val="24"/>
        </w:rPr>
        <w:t xml:space="preserve"> контракт</w:t>
      </w:r>
      <w:r>
        <w:rPr>
          <w:sz w:val="24"/>
          <w:szCs w:val="24"/>
        </w:rPr>
        <w:t xml:space="preserve">            </w:t>
      </w:r>
      <w:r w:rsidRPr="003E7150">
        <w:rPr>
          <w:sz w:val="24"/>
          <w:szCs w:val="24"/>
        </w:rPr>
        <w:t xml:space="preserve"> на выполнение работ, направленных на энергосбережение  и повышение энергетической эффективности использования электрической энергии при эксплуатации объектов наружного освещения. Контракт заключен на 6 лет и предусматривает замену неэффективных светильников на менее </w:t>
      </w:r>
      <w:proofErr w:type="gramStart"/>
      <w:r w:rsidRPr="003E7150">
        <w:rPr>
          <w:sz w:val="24"/>
          <w:szCs w:val="24"/>
        </w:rPr>
        <w:t>энергоемкие</w:t>
      </w:r>
      <w:proofErr w:type="gramEnd"/>
      <w:r w:rsidRPr="003E7150">
        <w:rPr>
          <w:sz w:val="24"/>
          <w:szCs w:val="24"/>
        </w:rPr>
        <w:t xml:space="preserve">. </w:t>
      </w:r>
      <w:r>
        <w:rPr>
          <w:sz w:val="24"/>
          <w:szCs w:val="24"/>
        </w:rPr>
        <w:t>Публичное акционерное общество</w:t>
      </w:r>
      <w:r w:rsidRPr="003E7150">
        <w:rPr>
          <w:sz w:val="24"/>
          <w:szCs w:val="24"/>
        </w:rPr>
        <w:t xml:space="preserve"> «Ростелеком» предоставляет гарантию на установленное оборудование и произведенные работы на весь срок действия контракта. </w:t>
      </w: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>В целях обеспечения развития жилищно-коммунального комплекса города Югорска бюджетные инвестиции направляются на строительство и реконструкцию объектов</w:t>
      </w:r>
      <w:r>
        <w:rPr>
          <w:sz w:val="24"/>
          <w:szCs w:val="24"/>
        </w:rPr>
        <w:t xml:space="preserve">                 </w:t>
      </w:r>
      <w:r w:rsidRPr="003E7150">
        <w:rPr>
          <w:sz w:val="24"/>
          <w:szCs w:val="24"/>
        </w:rPr>
        <w:t xml:space="preserve"> жилищно-коммунального хозяйства. Строительство и реконструкция объектов жилищно-коммунального хозяйства позволит получить значительные социальные, экологические, экономические эффекты, обеспечить безопасные условия проживания населения, повысить качество предоставляемых коммунальных услуг, а также качество жизни людей.</w:t>
      </w: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>Полный перечень инвестиционных проектов муниципальной программы по объектам капитального строительства представлен в таблице 7.</w:t>
      </w: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Pr="003E7150" w:rsidRDefault="005F6CCF" w:rsidP="005F6CCF">
      <w:pPr>
        <w:numPr>
          <w:ilvl w:val="1"/>
          <w:numId w:val="8"/>
        </w:numPr>
        <w:ind w:left="0" w:firstLine="0"/>
        <w:jc w:val="center"/>
        <w:rPr>
          <w:b/>
          <w:sz w:val="24"/>
          <w:szCs w:val="24"/>
        </w:rPr>
      </w:pPr>
      <w:r w:rsidRPr="003E7150">
        <w:rPr>
          <w:b/>
          <w:sz w:val="24"/>
          <w:szCs w:val="24"/>
        </w:rPr>
        <w:t>Развитие конкуренции</w:t>
      </w:r>
    </w:p>
    <w:p w:rsidR="005F6CCF" w:rsidRPr="003E7150" w:rsidRDefault="005F6CCF" w:rsidP="005F6CCF">
      <w:pPr>
        <w:ind w:left="709"/>
        <w:rPr>
          <w:b/>
          <w:sz w:val="24"/>
          <w:szCs w:val="24"/>
        </w:rPr>
      </w:pP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proofErr w:type="gramStart"/>
      <w:r w:rsidRPr="003E7150">
        <w:rPr>
          <w:sz w:val="24"/>
          <w:szCs w:val="24"/>
        </w:rPr>
        <w:t xml:space="preserve">Для развития конкуренции на рынке услуг жилищно-коммунального хозяйства </w:t>
      </w:r>
      <w:r>
        <w:rPr>
          <w:sz w:val="24"/>
          <w:szCs w:val="24"/>
        </w:rPr>
        <w:t xml:space="preserve">                     </w:t>
      </w:r>
      <w:r w:rsidRPr="003E7150">
        <w:rPr>
          <w:sz w:val="24"/>
          <w:szCs w:val="24"/>
        </w:rPr>
        <w:t xml:space="preserve">в Ханты-Мансийском автономном округе - Югре разработан </w:t>
      </w:r>
      <w:r>
        <w:rPr>
          <w:sz w:val="24"/>
          <w:szCs w:val="24"/>
        </w:rPr>
        <w:t>план мероприятий</w:t>
      </w:r>
      <w:r w:rsidRPr="003E715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E7150">
        <w:rPr>
          <w:sz w:val="24"/>
          <w:szCs w:val="24"/>
        </w:rPr>
        <w:t>«дорожная карта»</w:t>
      </w:r>
      <w:r>
        <w:rPr>
          <w:sz w:val="24"/>
          <w:szCs w:val="24"/>
        </w:rPr>
        <w:t>)</w:t>
      </w:r>
      <w:r w:rsidRPr="003E7150">
        <w:rPr>
          <w:sz w:val="24"/>
          <w:szCs w:val="24"/>
        </w:rPr>
        <w:t xml:space="preserve"> по содействию развитию конкуренции в </w:t>
      </w:r>
      <w:r>
        <w:rPr>
          <w:sz w:val="24"/>
          <w:szCs w:val="24"/>
        </w:rPr>
        <w:t xml:space="preserve">Ханты-Мансийском </w:t>
      </w:r>
      <w:r w:rsidRPr="003E7150">
        <w:rPr>
          <w:sz w:val="24"/>
          <w:szCs w:val="24"/>
        </w:rPr>
        <w:t>автономном</w:t>
      </w:r>
      <w:r>
        <w:rPr>
          <w:sz w:val="24"/>
          <w:szCs w:val="24"/>
        </w:rPr>
        <w:t xml:space="preserve">                     </w:t>
      </w:r>
      <w:r w:rsidRPr="003E7150">
        <w:rPr>
          <w:sz w:val="24"/>
          <w:szCs w:val="24"/>
        </w:rPr>
        <w:t>округе</w:t>
      </w:r>
      <w:r>
        <w:rPr>
          <w:sz w:val="24"/>
          <w:szCs w:val="24"/>
        </w:rPr>
        <w:t xml:space="preserve"> - Югре</w:t>
      </w:r>
      <w:r w:rsidRPr="003E7150">
        <w:rPr>
          <w:sz w:val="24"/>
          <w:szCs w:val="24"/>
        </w:rPr>
        <w:t>, утвержденный распоряжением Правительства Ханты-Мансийского автономного округа - Югры от 10.07.2015 № 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</w:t>
      </w:r>
      <w:proofErr w:type="gramEnd"/>
      <w:r w:rsidRPr="003E7150">
        <w:rPr>
          <w:sz w:val="24"/>
          <w:szCs w:val="24"/>
        </w:rPr>
        <w:t xml:space="preserve"> </w:t>
      </w:r>
      <w:proofErr w:type="gramStart"/>
      <w:r w:rsidRPr="003E7150">
        <w:rPr>
          <w:sz w:val="24"/>
          <w:szCs w:val="24"/>
        </w:rPr>
        <w:t>и признании утратившим силу распоряжения Правительства Ханты-Мансийского автономного округа – Югры от 4</w:t>
      </w:r>
      <w:r>
        <w:rPr>
          <w:sz w:val="24"/>
          <w:szCs w:val="24"/>
        </w:rPr>
        <w:t xml:space="preserve"> июля </w:t>
      </w:r>
      <w:r w:rsidRPr="003E7150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года </w:t>
      </w:r>
      <w:r w:rsidRPr="003E7150">
        <w:rPr>
          <w:sz w:val="24"/>
          <w:szCs w:val="24"/>
        </w:rPr>
        <w:t xml:space="preserve">№ 382-рп «О плане мероприятий («дорожной карте») «Развитие конкуренции </w:t>
      </w:r>
      <w:r>
        <w:rPr>
          <w:sz w:val="24"/>
          <w:szCs w:val="24"/>
        </w:rPr>
        <w:t xml:space="preserve">                            </w:t>
      </w:r>
      <w:r w:rsidRPr="003E7150">
        <w:rPr>
          <w:sz w:val="24"/>
          <w:szCs w:val="24"/>
        </w:rPr>
        <w:t>в Ханты-Мансийском автономном округе – Югре»,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потребителей.</w:t>
      </w:r>
      <w:proofErr w:type="gramEnd"/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>В 2016 году заключено соглашение между Правительством Ханты-Мансийского автономного округа - Югры и органами местного самоуправления городских округов</w:t>
      </w:r>
      <w:r>
        <w:rPr>
          <w:sz w:val="24"/>
          <w:szCs w:val="24"/>
        </w:rPr>
        <w:t xml:space="preserve">                        </w:t>
      </w:r>
      <w:r w:rsidRPr="003E7150">
        <w:rPr>
          <w:sz w:val="24"/>
          <w:szCs w:val="24"/>
        </w:rPr>
        <w:t xml:space="preserve"> и муниципальных районов автономного округа по внедрению </w:t>
      </w:r>
      <w:proofErr w:type="gramStart"/>
      <w:r w:rsidRPr="003E7150">
        <w:rPr>
          <w:sz w:val="24"/>
          <w:szCs w:val="24"/>
        </w:rPr>
        <w:t>в</w:t>
      </w:r>
      <w:proofErr w:type="gramEnd"/>
      <w:r w:rsidRPr="003E7150">
        <w:rPr>
          <w:sz w:val="24"/>
          <w:szCs w:val="24"/>
        </w:rPr>
        <w:t xml:space="preserve"> </w:t>
      </w:r>
      <w:proofErr w:type="gramStart"/>
      <w:r w:rsidRPr="003E7150">
        <w:rPr>
          <w:sz w:val="24"/>
          <w:szCs w:val="24"/>
        </w:rPr>
        <w:t>Ханты-Мансийско</w:t>
      </w:r>
      <w:r>
        <w:rPr>
          <w:sz w:val="24"/>
          <w:szCs w:val="24"/>
        </w:rPr>
        <w:t>м</w:t>
      </w:r>
      <w:proofErr w:type="gramEnd"/>
      <w:r w:rsidRPr="003E7150">
        <w:rPr>
          <w:sz w:val="24"/>
          <w:szCs w:val="24"/>
        </w:rPr>
        <w:t xml:space="preserve"> автономно</w:t>
      </w:r>
      <w:r>
        <w:rPr>
          <w:sz w:val="24"/>
          <w:szCs w:val="24"/>
        </w:rPr>
        <w:t>м</w:t>
      </w:r>
      <w:r w:rsidRPr="003E7150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3E7150">
        <w:rPr>
          <w:sz w:val="24"/>
          <w:szCs w:val="24"/>
        </w:rPr>
        <w:t xml:space="preserve"> - Югр</w:t>
      </w:r>
      <w:r>
        <w:rPr>
          <w:sz w:val="24"/>
          <w:szCs w:val="24"/>
        </w:rPr>
        <w:t>е</w:t>
      </w:r>
      <w:r w:rsidRPr="003E7150">
        <w:rPr>
          <w:sz w:val="24"/>
          <w:szCs w:val="24"/>
        </w:rPr>
        <w:t xml:space="preserve"> стандарта развития конкуренции.</w:t>
      </w: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 xml:space="preserve">В целях развития конкуренции на рынке услуг жилищно-коммунального хозяйства </w:t>
      </w:r>
      <w:r>
        <w:rPr>
          <w:sz w:val="24"/>
          <w:szCs w:val="24"/>
        </w:rPr>
        <w:t xml:space="preserve">               </w:t>
      </w:r>
      <w:r w:rsidRPr="003E7150">
        <w:rPr>
          <w:sz w:val="24"/>
          <w:szCs w:val="24"/>
        </w:rPr>
        <w:t xml:space="preserve"> в городе Югорске предполагается реализация следующих мероприятий: организация</w:t>
      </w:r>
      <w:r>
        <w:rPr>
          <w:sz w:val="24"/>
          <w:szCs w:val="24"/>
        </w:rPr>
        <w:t xml:space="preserve">                        </w:t>
      </w:r>
      <w:r w:rsidRPr="003E7150">
        <w:rPr>
          <w:sz w:val="24"/>
          <w:szCs w:val="24"/>
        </w:rPr>
        <w:t xml:space="preserve"> и проведение открытых конкурсов по отбору управляющих организаций для управления многоквартирными домами города Югорска; проведение городских конкурсов на образцовое содержание и благоустройство придомовых территорий; заключение контрактов на выполнение работ по капитальному ремонту и приведению в технически исправное состояние жилищного фонда, а также осуществление закупки товаров, услуг, работ для муниципальных нужд</w:t>
      </w:r>
      <w:r>
        <w:rPr>
          <w:sz w:val="24"/>
          <w:szCs w:val="24"/>
        </w:rPr>
        <w:t xml:space="preserve">                    </w:t>
      </w:r>
      <w:r w:rsidRPr="003E7150">
        <w:rPr>
          <w:sz w:val="24"/>
          <w:szCs w:val="24"/>
        </w:rPr>
        <w:t xml:space="preserve"> (в том числе реализации мероприятий муниципальных программ) в соответствии</w:t>
      </w:r>
      <w:r>
        <w:rPr>
          <w:sz w:val="24"/>
          <w:szCs w:val="24"/>
        </w:rPr>
        <w:t xml:space="preserve">                                     </w:t>
      </w:r>
      <w:r w:rsidRPr="003E7150">
        <w:rPr>
          <w:sz w:val="24"/>
          <w:szCs w:val="24"/>
        </w:rPr>
        <w:t xml:space="preserve"> с законодательством Российской Федерации.</w:t>
      </w:r>
    </w:p>
    <w:p w:rsidR="005F6CCF" w:rsidRPr="003E7150" w:rsidRDefault="005F6CCF" w:rsidP="005F6CCF">
      <w:pPr>
        <w:ind w:firstLine="709"/>
        <w:jc w:val="both"/>
        <w:rPr>
          <w:sz w:val="24"/>
          <w:szCs w:val="24"/>
        </w:rPr>
      </w:pPr>
    </w:p>
    <w:p w:rsidR="005F6CCF" w:rsidRPr="003E7150" w:rsidRDefault="005F6CCF" w:rsidP="005F6CCF">
      <w:pPr>
        <w:jc w:val="center"/>
        <w:rPr>
          <w:b/>
          <w:sz w:val="24"/>
          <w:szCs w:val="24"/>
        </w:rPr>
      </w:pPr>
      <w:r w:rsidRPr="003E7150">
        <w:rPr>
          <w:b/>
          <w:sz w:val="24"/>
          <w:szCs w:val="24"/>
        </w:rPr>
        <w:t>Раздел 2. Механизм реализации муниципальной программы</w:t>
      </w:r>
    </w:p>
    <w:p w:rsidR="005F6CCF" w:rsidRPr="003E7150" w:rsidRDefault="005F6CCF" w:rsidP="005F6CCF">
      <w:pPr>
        <w:ind w:firstLine="709"/>
        <w:jc w:val="both"/>
        <w:rPr>
          <w:b/>
          <w:sz w:val="24"/>
          <w:szCs w:val="24"/>
        </w:rPr>
      </w:pP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  <w:lang w:eastAsia="ru-RU"/>
        </w:rPr>
        <w:t xml:space="preserve">Муниципальная программа направлена на стабильность работы и повышение уровня предоставляемых услуг жилищно-коммунального комплекса, </w:t>
      </w:r>
      <w:r w:rsidRPr="003E7150">
        <w:rPr>
          <w:rFonts w:eastAsia="Times New Roman CYR"/>
          <w:sz w:val="24"/>
          <w:szCs w:val="24"/>
          <w:lang w:eastAsia="ru-RU"/>
        </w:rPr>
        <w:t xml:space="preserve">дальнейшее улучшение условий проживания жителей города Югорска, </w:t>
      </w:r>
      <w:r w:rsidRPr="003E7150">
        <w:rPr>
          <w:sz w:val="24"/>
          <w:szCs w:val="24"/>
        </w:rPr>
        <w:t xml:space="preserve">активизацию практических действий в сфере энергосбережения с целью повышения уровня </w:t>
      </w:r>
      <w:proofErr w:type="spellStart"/>
      <w:r w:rsidRPr="003E7150">
        <w:rPr>
          <w:sz w:val="24"/>
          <w:szCs w:val="24"/>
        </w:rPr>
        <w:t>энергоэффективности</w:t>
      </w:r>
      <w:proofErr w:type="spellEnd"/>
      <w:r w:rsidRPr="003E7150">
        <w:rPr>
          <w:sz w:val="24"/>
          <w:szCs w:val="24"/>
        </w:rPr>
        <w:t xml:space="preserve"> города и реализации мер </w:t>
      </w:r>
      <w:r w:rsidRPr="003E7150">
        <w:rPr>
          <w:sz w:val="24"/>
          <w:szCs w:val="24"/>
        </w:rPr>
        <w:lastRenderedPageBreak/>
        <w:t xml:space="preserve">государственной политики энергосбережения </w:t>
      </w:r>
      <w:proofErr w:type="gramStart"/>
      <w:r w:rsidRPr="003E7150">
        <w:rPr>
          <w:sz w:val="24"/>
          <w:szCs w:val="24"/>
        </w:rPr>
        <w:t>в</w:t>
      </w:r>
      <w:proofErr w:type="gramEnd"/>
      <w:r w:rsidRPr="003E7150">
        <w:rPr>
          <w:sz w:val="24"/>
          <w:szCs w:val="24"/>
        </w:rPr>
        <w:t xml:space="preserve"> </w:t>
      </w:r>
      <w:proofErr w:type="gramStart"/>
      <w:r w:rsidRPr="003E7150">
        <w:rPr>
          <w:sz w:val="24"/>
          <w:szCs w:val="24"/>
        </w:rPr>
        <w:t>Ханты-Мансийском</w:t>
      </w:r>
      <w:proofErr w:type="gramEnd"/>
      <w:r w:rsidRPr="003E7150">
        <w:rPr>
          <w:sz w:val="24"/>
          <w:szCs w:val="24"/>
        </w:rPr>
        <w:t xml:space="preserve"> автономном округе – Югре. </w:t>
      </w:r>
    </w:p>
    <w:p w:rsidR="005F6CCF" w:rsidRPr="003E7150" w:rsidRDefault="005F6CCF" w:rsidP="005F6CCF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3E7150">
        <w:rPr>
          <w:sz w:val="24"/>
          <w:szCs w:val="24"/>
        </w:rPr>
        <w:t xml:space="preserve">Механизм реализации муниципальной программы </w:t>
      </w:r>
      <w:r w:rsidRPr="003E7150">
        <w:rPr>
          <w:rFonts w:eastAsia="Batang"/>
          <w:sz w:val="24"/>
          <w:szCs w:val="24"/>
          <w:lang w:eastAsia="ko-KR"/>
        </w:rPr>
        <w:t>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 Общественного совета при главе города по проблемам жилищно-коммунального хозяйства (далее – Общественный совет), муниципальных учреждений и хозяйствующих субъектов, путем заключения соглашений.</w:t>
      </w: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 w:rsidRPr="003E7150">
        <w:rPr>
          <w:rFonts w:eastAsia="Batang"/>
          <w:sz w:val="24"/>
          <w:szCs w:val="24"/>
          <w:lang w:eastAsia="ko-KR"/>
        </w:rPr>
        <w:t xml:space="preserve"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</w:t>
      </w:r>
      <w:r>
        <w:rPr>
          <w:rFonts w:eastAsia="Batang"/>
          <w:sz w:val="24"/>
          <w:szCs w:val="24"/>
          <w:lang w:eastAsia="ko-KR"/>
        </w:rPr>
        <w:t xml:space="preserve">                  </w:t>
      </w:r>
      <w:r w:rsidRPr="003E7150">
        <w:rPr>
          <w:rFonts w:eastAsia="Batang"/>
          <w:sz w:val="24"/>
          <w:szCs w:val="24"/>
          <w:lang w:eastAsia="ko-KR"/>
        </w:rPr>
        <w:t>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3E7150">
        <w:rPr>
          <w:rFonts w:eastAsia="Batang"/>
          <w:sz w:val="24"/>
          <w:szCs w:val="24"/>
          <w:lang w:eastAsia="ko-KR"/>
        </w:rPr>
        <w:t xml:space="preserve"> программных мероприятий.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3E7150">
        <w:rPr>
          <w:rFonts w:eastAsia="Batang"/>
          <w:sz w:val="24"/>
          <w:szCs w:val="24"/>
          <w:lang w:eastAsia="ko-KR"/>
        </w:rPr>
        <w:t>Ответственный исполнитель муниципальной программы осуществляет текущее управление реализацией муниципальной программы</w:t>
      </w:r>
      <w:r>
        <w:rPr>
          <w:rFonts w:eastAsia="Batang"/>
          <w:sz w:val="24"/>
          <w:szCs w:val="24"/>
          <w:lang w:eastAsia="ko-KR"/>
        </w:rPr>
        <w:t>.</w:t>
      </w:r>
    </w:p>
    <w:p w:rsidR="005F6CCF" w:rsidRPr="003E7150" w:rsidRDefault="005F6CCF" w:rsidP="005F6C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Ответственный исполнитель:</w:t>
      </w:r>
    </w:p>
    <w:p w:rsidR="005F6CCF" w:rsidRPr="003E7150" w:rsidRDefault="005F6CCF" w:rsidP="005F6CCF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50">
        <w:rPr>
          <w:rFonts w:ascii="Times New Roman" w:hAnsi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5F6CCF" w:rsidRPr="003E7150" w:rsidRDefault="005F6CCF" w:rsidP="005F6CCF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50">
        <w:rPr>
          <w:rFonts w:ascii="Times New Roman" w:hAnsi="Times New Roman"/>
          <w:sz w:val="24"/>
          <w:szCs w:val="24"/>
        </w:rPr>
        <w:t>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5F6CCF" w:rsidRPr="003E7150" w:rsidRDefault="005F6CCF" w:rsidP="005F6CCF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50">
        <w:rPr>
          <w:rFonts w:ascii="Times New Roman" w:hAnsi="Times New Roman"/>
          <w:sz w:val="24"/>
          <w:szCs w:val="24"/>
        </w:rPr>
        <w:t>ежегодно, после утверждения бюджета города</w:t>
      </w:r>
      <w:r>
        <w:rPr>
          <w:rFonts w:ascii="Times New Roman" w:hAnsi="Times New Roman"/>
          <w:sz w:val="24"/>
          <w:szCs w:val="24"/>
        </w:rPr>
        <w:t xml:space="preserve"> Югорска</w:t>
      </w:r>
      <w:r w:rsidRPr="003E7150">
        <w:rPr>
          <w:rFonts w:ascii="Times New Roman" w:hAnsi="Times New Roman"/>
          <w:sz w:val="24"/>
          <w:szCs w:val="24"/>
        </w:rPr>
        <w:t>, вносит корректировку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E7150">
        <w:rPr>
          <w:rFonts w:ascii="Times New Roman" w:hAnsi="Times New Roman"/>
          <w:sz w:val="24"/>
          <w:szCs w:val="24"/>
        </w:rPr>
        <w:t xml:space="preserve"> в муниципальную программу, в пределах бюджетных ассигнований на очередной финансовый год;</w:t>
      </w:r>
    </w:p>
    <w:p w:rsidR="005F6CCF" w:rsidRPr="003E7150" w:rsidRDefault="005F6CCF" w:rsidP="005F6CCF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осуществляет полномочия главного распорядителя средств, предусмотренных </w:t>
      </w:r>
      <w:r>
        <w:rPr>
          <w:sz w:val="24"/>
          <w:szCs w:val="24"/>
          <w:lang w:eastAsia="ru-RU"/>
        </w:rPr>
        <w:t xml:space="preserve">           </w:t>
      </w:r>
      <w:r w:rsidRPr="003E7150">
        <w:rPr>
          <w:sz w:val="24"/>
          <w:szCs w:val="24"/>
          <w:lang w:eastAsia="ru-RU"/>
        </w:rPr>
        <w:t>на выполнение муниципальной программы;</w:t>
      </w:r>
    </w:p>
    <w:p w:rsidR="005F6CCF" w:rsidRPr="003E7150" w:rsidRDefault="005F6CCF" w:rsidP="005F6CCF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 организует исполнение муниципальной программы на основании заключенных </w:t>
      </w:r>
      <w:r>
        <w:rPr>
          <w:sz w:val="24"/>
          <w:szCs w:val="24"/>
          <w:lang w:eastAsia="ru-RU"/>
        </w:rPr>
        <w:t xml:space="preserve">            </w:t>
      </w:r>
      <w:r w:rsidRPr="003E7150">
        <w:rPr>
          <w:sz w:val="24"/>
          <w:szCs w:val="24"/>
          <w:lang w:eastAsia="ru-RU"/>
        </w:rPr>
        <w:t xml:space="preserve">в соответствии с законодательством Российской Федерации муниципальных контрактов </w:t>
      </w:r>
      <w:r>
        <w:rPr>
          <w:sz w:val="24"/>
          <w:szCs w:val="24"/>
          <w:lang w:eastAsia="ru-RU"/>
        </w:rPr>
        <w:t xml:space="preserve">                     </w:t>
      </w:r>
      <w:r w:rsidRPr="003E7150">
        <w:rPr>
          <w:sz w:val="24"/>
          <w:szCs w:val="24"/>
          <w:lang w:eastAsia="ru-RU"/>
        </w:rPr>
        <w:t xml:space="preserve">с организациями, осуществляющими деятельность в сфере жилищно-коммунального </w:t>
      </w:r>
      <w:r>
        <w:rPr>
          <w:sz w:val="24"/>
          <w:szCs w:val="24"/>
          <w:lang w:eastAsia="ru-RU"/>
        </w:rPr>
        <w:t xml:space="preserve">                        </w:t>
      </w:r>
      <w:r w:rsidRPr="003E7150">
        <w:rPr>
          <w:sz w:val="24"/>
          <w:szCs w:val="24"/>
          <w:lang w:eastAsia="ru-RU"/>
        </w:rPr>
        <w:t>и строительного комплекса;</w:t>
      </w:r>
    </w:p>
    <w:p w:rsidR="005F6CCF" w:rsidRPr="003E7150" w:rsidRDefault="005F6CCF" w:rsidP="005F6CCF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50">
        <w:rPr>
          <w:rFonts w:ascii="Times New Roman" w:hAnsi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5F6CCF" w:rsidRPr="003E7150" w:rsidRDefault="005F6CCF" w:rsidP="005F6CCF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50">
        <w:rPr>
          <w:rFonts w:ascii="Times New Roman" w:hAnsi="Times New Roman"/>
          <w:sz w:val="24"/>
          <w:szCs w:val="24"/>
        </w:rPr>
        <w:t>оказывает помощь собственникам жилых помещений многоквартирных домов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E7150">
        <w:rPr>
          <w:rFonts w:ascii="Times New Roman" w:hAnsi="Times New Roman"/>
          <w:sz w:val="24"/>
          <w:szCs w:val="24"/>
        </w:rPr>
        <w:t xml:space="preserve"> в виде консультации по вопросам реализации мероприятий муниципальной программы;</w:t>
      </w:r>
    </w:p>
    <w:p w:rsidR="005F6CCF" w:rsidRPr="003E7150" w:rsidRDefault="005F6CCF" w:rsidP="005F6CCF">
      <w:pPr>
        <w:pStyle w:val="a8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7150">
        <w:rPr>
          <w:rFonts w:ascii="Times New Roman" w:hAnsi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</w:t>
      </w:r>
      <w:r>
        <w:rPr>
          <w:rFonts w:ascii="Times New Roman" w:hAnsi="Times New Roman"/>
          <w:sz w:val="24"/>
          <w:szCs w:val="24"/>
        </w:rPr>
        <w:t xml:space="preserve">Югорска </w:t>
      </w:r>
      <w:r w:rsidRPr="003E7150">
        <w:rPr>
          <w:rFonts w:ascii="Times New Roman" w:hAnsi="Times New Roman"/>
          <w:sz w:val="24"/>
          <w:szCs w:val="24"/>
        </w:rPr>
        <w:t xml:space="preserve">о реализации законодательства в области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3E7150">
        <w:rPr>
          <w:rFonts w:ascii="Times New Roman" w:hAnsi="Times New Roman"/>
          <w:sz w:val="24"/>
          <w:szCs w:val="24"/>
        </w:rPr>
        <w:t>энерго</w:t>
      </w:r>
      <w:proofErr w:type="spellEnd"/>
      <w:r w:rsidRPr="003E7150">
        <w:rPr>
          <w:rFonts w:ascii="Times New Roman" w:hAnsi="Times New Roman"/>
          <w:sz w:val="24"/>
          <w:szCs w:val="24"/>
        </w:rPr>
        <w:t>-ресурсосбережения, реализации мероприятий муниципальной программы, а также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5F6CCF" w:rsidRPr="003E7150" w:rsidRDefault="005F6CCF" w:rsidP="005F6CCF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>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5F6CCF" w:rsidRPr="003E7150" w:rsidRDefault="005F6CCF" w:rsidP="005F6CCF">
      <w:pPr>
        <w:numPr>
          <w:ilvl w:val="0"/>
          <w:numId w:val="5"/>
        </w:numPr>
        <w:suppressAutoHyphens w:val="0"/>
        <w:ind w:left="0" w:firstLine="709"/>
        <w:jc w:val="both"/>
        <w:rPr>
          <w:sz w:val="24"/>
          <w:szCs w:val="24"/>
        </w:rPr>
      </w:pPr>
      <w:r w:rsidRPr="003E7150">
        <w:rPr>
          <w:sz w:val="24"/>
          <w:szCs w:val="24"/>
          <w:lang w:eastAsia="ru-RU"/>
        </w:rPr>
        <w:t>осуществляет иные необходимы</w:t>
      </w:r>
      <w:r>
        <w:rPr>
          <w:sz w:val="24"/>
          <w:szCs w:val="24"/>
          <w:lang w:eastAsia="ru-RU"/>
        </w:rPr>
        <w:t>е для реализации муниципальной п</w:t>
      </w:r>
      <w:r w:rsidRPr="003E7150">
        <w:rPr>
          <w:sz w:val="24"/>
          <w:szCs w:val="24"/>
          <w:lang w:eastAsia="ru-RU"/>
        </w:rPr>
        <w:t xml:space="preserve">рограммы функции, предусмотренные законодательством </w:t>
      </w:r>
      <w:r w:rsidRPr="003E7150">
        <w:rPr>
          <w:sz w:val="24"/>
          <w:szCs w:val="24"/>
        </w:rPr>
        <w:t xml:space="preserve">Ханты-Мансийского автономного </w:t>
      </w:r>
      <w:r>
        <w:rPr>
          <w:sz w:val="24"/>
          <w:szCs w:val="24"/>
        </w:rPr>
        <w:t xml:space="preserve">                       </w:t>
      </w:r>
      <w:r w:rsidRPr="003E7150">
        <w:rPr>
          <w:sz w:val="24"/>
          <w:szCs w:val="24"/>
        </w:rPr>
        <w:t xml:space="preserve">округа - Югры </w:t>
      </w:r>
      <w:r w:rsidRPr="003E7150">
        <w:rPr>
          <w:sz w:val="24"/>
          <w:szCs w:val="24"/>
          <w:lang w:eastAsia="ru-RU"/>
        </w:rPr>
        <w:t>и Российской Федерации.</w:t>
      </w:r>
      <w:r w:rsidRPr="003E7150">
        <w:rPr>
          <w:sz w:val="24"/>
          <w:szCs w:val="24"/>
        </w:rPr>
        <w:t xml:space="preserve"> </w:t>
      </w:r>
    </w:p>
    <w:p w:rsidR="005F6CCF" w:rsidRPr="003E7150" w:rsidRDefault="005F6CCF" w:rsidP="005F6CC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Соисполнитель муниципальной программы осуществляет финансирование деятельности Департамента жилищно-коммунального и строительного комплекса администрации города Югорска.</w:t>
      </w:r>
    </w:p>
    <w:p w:rsidR="005F6CCF" w:rsidRPr="003E7150" w:rsidRDefault="005F6CCF" w:rsidP="005F6CCF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Представители Общественного совета участвуют в работе приемочной комиссии </w:t>
      </w:r>
      <w:r>
        <w:rPr>
          <w:sz w:val="24"/>
          <w:szCs w:val="24"/>
          <w:lang w:eastAsia="ru-RU"/>
        </w:rPr>
        <w:t xml:space="preserve">                 </w:t>
      </w:r>
      <w:r w:rsidRPr="003E7150">
        <w:rPr>
          <w:sz w:val="24"/>
          <w:szCs w:val="24"/>
          <w:lang w:eastAsia="ru-RU"/>
        </w:rPr>
        <w:t xml:space="preserve">по приемке выполненных работ по текущему и капитальному ремонту жилищного фонда, </w:t>
      </w:r>
      <w:r>
        <w:rPr>
          <w:sz w:val="24"/>
          <w:szCs w:val="24"/>
          <w:lang w:eastAsia="ru-RU"/>
        </w:rPr>
        <w:t xml:space="preserve">               </w:t>
      </w:r>
      <w:r w:rsidRPr="003E7150">
        <w:rPr>
          <w:sz w:val="24"/>
          <w:szCs w:val="24"/>
          <w:lang w:eastAsia="ru-RU"/>
        </w:rPr>
        <w:t xml:space="preserve">и иных работ, проводимых в рамках данной муниципальной программы (по согласованию).  </w:t>
      </w:r>
    </w:p>
    <w:p w:rsidR="005F6CCF" w:rsidRPr="003E7150" w:rsidRDefault="005F6CCF" w:rsidP="005F6CCF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</w:t>
      </w:r>
      <w:r w:rsidRPr="003E7150">
        <w:rPr>
          <w:sz w:val="24"/>
          <w:szCs w:val="24"/>
          <w:lang w:eastAsia="ru-RU"/>
        </w:rPr>
        <w:lastRenderedPageBreak/>
        <w:t>связанные с оптимизацией программных мероприятий в случае выявления лучших практик</w:t>
      </w:r>
      <w:r>
        <w:rPr>
          <w:sz w:val="24"/>
          <w:szCs w:val="24"/>
          <w:lang w:eastAsia="ru-RU"/>
        </w:rPr>
        <w:t xml:space="preserve">          </w:t>
      </w:r>
      <w:r w:rsidRPr="003E7150">
        <w:rPr>
          <w:sz w:val="24"/>
          <w:szCs w:val="24"/>
          <w:lang w:eastAsia="ru-RU"/>
        </w:rPr>
        <w:t xml:space="preserve"> их реализации.</w:t>
      </w: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3E7150">
        <w:rPr>
          <w:rFonts w:eastAsia="Batang"/>
          <w:sz w:val="24"/>
          <w:szCs w:val="24"/>
          <w:lang w:eastAsia="ko-KR"/>
        </w:rPr>
        <w:t xml:space="preserve">В процессе реализации муниципальной программы может появиться ряд обстоятельств </w:t>
      </w:r>
      <w:r>
        <w:rPr>
          <w:rFonts w:eastAsia="Batang"/>
          <w:sz w:val="24"/>
          <w:szCs w:val="24"/>
          <w:lang w:eastAsia="ko-KR"/>
        </w:rPr>
        <w:t xml:space="preserve"> </w:t>
      </w:r>
      <w:r w:rsidRPr="003E7150">
        <w:rPr>
          <w:rFonts w:eastAsia="Batang"/>
          <w:sz w:val="24"/>
          <w:szCs w:val="24"/>
          <w:lang w:eastAsia="ko-KR"/>
        </w:rPr>
        <w:t>и рисков, которые могут влиять на ожидаемые непосредственные и конечные результаты</w:t>
      </w:r>
      <w:r>
        <w:rPr>
          <w:rFonts w:eastAsia="Batang"/>
          <w:sz w:val="24"/>
          <w:szCs w:val="24"/>
          <w:lang w:eastAsia="ko-KR"/>
        </w:rPr>
        <w:t xml:space="preserve">               </w:t>
      </w:r>
      <w:r w:rsidRPr="003E7150">
        <w:rPr>
          <w:rFonts w:eastAsia="Batang"/>
          <w:sz w:val="24"/>
          <w:szCs w:val="24"/>
          <w:lang w:eastAsia="ko-KR"/>
        </w:rPr>
        <w:t xml:space="preserve"> ее реализации: макроэкономические, нормативные правовые, финансовые, административные риски. При реализации муниципальной программы не исключен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Условием, при котором возникают риски реализации мероприятий муниципальной программы, является отсутствие финансирования органов исполнительной власти Ханты – Мансийского автономного </w:t>
      </w:r>
      <w:r>
        <w:rPr>
          <w:rFonts w:eastAsia="Batang"/>
          <w:sz w:val="24"/>
          <w:szCs w:val="24"/>
          <w:lang w:eastAsia="ko-KR"/>
        </w:rPr>
        <w:t xml:space="preserve">                 </w:t>
      </w:r>
      <w:r w:rsidRPr="003E7150">
        <w:rPr>
          <w:rFonts w:eastAsia="Batang"/>
          <w:sz w:val="24"/>
          <w:szCs w:val="24"/>
          <w:lang w:eastAsia="ko-KR"/>
        </w:rPr>
        <w:t xml:space="preserve">округа – Югры и недостаточное финансирование из бюджета города Югорска. </w:t>
      </w: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5F6CCF" w:rsidRPr="003E7150" w:rsidRDefault="005F6CCF" w:rsidP="005F6CC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E7150">
        <w:rPr>
          <w:sz w:val="24"/>
          <w:szCs w:val="24"/>
        </w:rPr>
        <w:t xml:space="preserve">Перечень возможных рисков при реализации муниципальной программы и мер </w:t>
      </w:r>
      <w:r>
        <w:rPr>
          <w:sz w:val="24"/>
          <w:szCs w:val="24"/>
        </w:rPr>
        <w:t xml:space="preserve">                        </w:t>
      </w:r>
      <w:r w:rsidRPr="003E7150">
        <w:rPr>
          <w:sz w:val="24"/>
          <w:szCs w:val="24"/>
        </w:rPr>
        <w:t>по их преодолению обозначен в таблице 6.</w:t>
      </w:r>
    </w:p>
    <w:p w:rsidR="005F6CCF" w:rsidRPr="003E7150" w:rsidRDefault="005F6CCF" w:rsidP="005F6CCF">
      <w:pPr>
        <w:tabs>
          <w:tab w:val="left" w:pos="360"/>
        </w:tabs>
        <w:ind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Реализация поставленной цели и решение задач муниципальной программы планируется через проведение </w:t>
      </w:r>
      <w:r>
        <w:rPr>
          <w:sz w:val="24"/>
          <w:szCs w:val="24"/>
          <w:lang w:eastAsia="ru-RU"/>
        </w:rPr>
        <w:t xml:space="preserve">основных </w:t>
      </w:r>
      <w:r w:rsidRPr="003E7150">
        <w:rPr>
          <w:sz w:val="24"/>
          <w:szCs w:val="24"/>
          <w:lang w:eastAsia="ru-RU"/>
        </w:rPr>
        <w:t>мероприятий, представленных в таблице 2.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 xml:space="preserve">ероприятие 1 «Реконструкция, расширение, модернизация, строительство </w:t>
      </w:r>
      <w:r>
        <w:rPr>
          <w:sz w:val="24"/>
          <w:szCs w:val="24"/>
        </w:rPr>
        <w:t xml:space="preserve">            </w:t>
      </w:r>
      <w:r w:rsidRPr="003E7150">
        <w:rPr>
          <w:sz w:val="24"/>
          <w:szCs w:val="24"/>
        </w:rPr>
        <w:t xml:space="preserve">и капитальный ремонт объектов коммунального комплекса (в том числе в рамках концессионных соглашений)» предусматривает </w:t>
      </w:r>
      <w:r w:rsidRPr="003E7150">
        <w:rPr>
          <w:sz w:val="24"/>
          <w:szCs w:val="24"/>
          <w:lang w:eastAsia="ru-RU"/>
        </w:rPr>
        <w:t xml:space="preserve">строительство, реконструкцию, модернизацию,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материалов. </w:t>
      </w:r>
      <w:proofErr w:type="gramStart"/>
      <w:r w:rsidRPr="003E7150">
        <w:rPr>
          <w:sz w:val="24"/>
          <w:szCs w:val="24"/>
          <w:lang w:eastAsia="ru-RU"/>
        </w:rPr>
        <w:t xml:space="preserve">Также </w:t>
      </w:r>
      <w:r>
        <w:rPr>
          <w:sz w:val="24"/>
          <w:szCs w:val="24"/>
          <w:lang w:eastAsia="ru-RU"/>
        </w:rPr>
        <w:t xml:space="preserve">                 </w:t>
      </w:r>
      <w:r w:rsidRPr="003E7150">
        <w:rPr>
          <w:sz w:val="24"/>
          <w:szCs w:val="24"/>
          <w:lang w:eastAsia="ru-RU"/>
        </w:rPr>
        <w:t xml:space="preserve">в рамках данного мероприятия предусматривается </w:t>
      </w:r>
      <w:proofErr w:type="spellStart"/>
      <w:r w:rsidRPr="003E7150">
        <w:rPr>
          <w:sz w:val="24"/>
          <w:szCs w:val="24"/>
          <w:lang w:eastAsia="ru-RU"/>
        </w:rPr>
        <w:t>софинансирование</w:t>
      </w:r>
      <w:proofErr w:type="spellEnd"/>
      <w:r w:rsidRPr="003E7150">
        <w:rPr>
          <w:sz w:val="24"/>
          <w:szCs w:val="24"/>
          <w:lang w:eastAsia="ru-RU"/>
        </w:rPr>
        <w:t xml:space="preserve"> части расходов</w:t>
      </w:r>
      <w:r>
        <w:rPr>
          <w:sz w:val="24"/>
          <w:szCs w:val="24"/>
          <w:lang w:eastAsia="ru-RU"/>
        </w:rPr>
        <w:t xml:space="preserve">                    </w:t>
      </w:r>
      <w:r w:rsidRPr="003E7150">
        <w:rPr>
          <w:sz w:val="24"/>
          <w:szCs w:val="24"/>
          <w:lang w:eastAsia="ru-RU"/>
        </w:rPr>
        <w:t xml:space="preserve"> на создание, реконструкцию, модернизацию объекта концессионного соглашения, в том числе изготовление </w:t>
      </w:r>
      <w:proofErr w:type="spellStart"/>
      <w:r w:rsidRPr="003E7150">
        <w:rPr>
          <w:sz w:val="24"/>
          <w:szCs w:val="24"/>
          <w:lang w:eastAsia="ru-RU"/>
        </w:rPr>
        <w:t>проектно</w:t>
      </w:r>
      <w:proofErr w:type="spellEnd"/>
      <w:r w:rsidRPr="003E7150">
        <w:rPr>
          <w:sz w:val="24"/>
          <w:szCs w:val="24"/>
          <w:lang w:eastAsia="ru-RU"/>
        </w:rPr>
        <w:t xml:space="preserve"> - сметной документации для капитального ремонта инженерных сетей, оплата за экспертизу достоверности сметной стоимости, а также расходов, предусмотренных</w:t>
      </w:r>
      <w:r>
        <w:rPr>
          <w:sz w:val="24"/>
          <w:szCs w:val="24"/>
          <w:lang w:eastAsia="ru-RU"/>
        </w:rPr>
        <w:t xml:space="preserve">             </w:t>
      </w:r>
      <w:r w:rsidRPr="003E7150">
        <w:rPr>
          <w:sz w:val="24"/>
          <w:szCs w:val="24"/>
          <w:lang w:eastAsia="ru-RU"/>
        </w:rPr>
        <w:t xml:space="preserve"> в рамках концессионного соглашения в форме платы </w:t>
      </w:r>
      <w:proofErr w:type="spellStart"/>
      <w:r w:rsidRPr="003E7150">
        <w:rPr>
          <w:sz w:val="24"/>
          <w:szCs w:val="24"/>
          <w:lang w:eastAsia="ru-RU"/>
        </w:rPr>
        <w:t>концендента</w:t>
      </w:r>
      <w:proofErr w:type="spellEnd"/>
      <w:r w:rsidRPr="003E7150">
        <w:rPr>
          <w:sz w:val="24"/>
          <w:szCs w:val="24"/>
          <w:lang w:eastAsia="ru-RU"/>
        </w:rPr>
        <w:t>, возмещение затрат в части эксплуатационных расходов, понесенных концессионером в процессе реализации концессионного соглашения.</w:t>
      </w:r>
      <w:proofErr w:type="gramEnd"/>
      <w:r w:rsidRPr="003E7150">
        <w:rPr>
          <w:sz w:val="24"/>
          <w:szCs w:val="24"/>
          <w:lang w:eastAsia="ru-RU"/>
        </w:rPr>
        <w:t xml:space="preserve"> </w:t>
      </w:r>
      <w:r w:rsidRPr="003E7150">
        <w:rPr>
          <w:rFonts w:eastAsia="Batang"/>
          <w:sz w:val="24"/>
          <w:szCs w:val="24"/>
          <w:lang w:eastAsia="ko-KR"/>
        </w:rPr>
        <w:t xml:space="preserve">Мероприятие реализуется </w:t>
      </w:r>
      <w:r w:rsidRPr="003E7150">
        <w:rPr>
          <w:sz w:val="24"/>
          <w:szCs w:val="24"/>
          <w:lang w:eastAsia="ru-RU"/>
        </w:rPr>
        <w:t>в соответствии с порядком, приведенным в приложении 3 к государственной программе Ханты-Мансийского автономного округа – Югры «Жилищно-коммунальный комплекс и городская среда».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 xml:space="preserve">ероприятие 2 «Строительство объектов инженерной инфраструктуры </w:t>
      </w:r>
      <w:r>
        <w:rPr>
          <w:sz w:val="24"/>
          <w:szCs w:val="24"/>
        </w:rPr>
        <w:t xml:space="preserve">                </w:t>
      </w:r>
      <w:r w:rsidRPr="003E7150">
        <w:rPr>
          <w:sz w:val="24"/>
          <w:szCs w:val="24"/>
        </w:rPr>
        <w:t xml:space="preserve">на территориях, предназначенных для жилищного строительства» предусматривает подготовку и строительство объектов инженерной инфраструктуры на земельных участках, предназначенных для жилищного строительства. Мероприятие реализуется </w:t>
      </w:r>
      <w:r w:rsidRPr="003E7150">
        <w:rPr>
          <w:rFonts w:eastAsia="Batang"/>
          <w:sz w:val="24"/>
          <w:szCs w:val="24"/>
          <w:lang w:eastAsia="ko-KR"/>
        </w:rPr>
        <w:t xml:space="preserve">за счет средств бюджета </w:t>
      </w:r>
      <w:r>
        <w:rPr>
          <w:rFonts w:eastAsia="Batang"/>
          <w:sz w:val="24"/>
          <w:szCs w:val="24"/>
          <w:lang w:eastAsia="ko-KR"/>
        </w:rPr>
        <w:t xml:space="preserve">Ханты-Мансийского </w:t>
      </w:r>
      <w:r w:rsidRPr="003E7150">
        <w:rPr>
          <w:rFonts w:eastAsia="Batang"/>
          <w:sz w:val="24"/>
          <w:szCs w:val="24"/>
          <w:lang w:eastAsia="ko-KR"/>
        </w:rPr>
        <w:t xml:space="preserve">автономного округа </w:t>
      </w:r>
      <w:r>
        <w:rPr>
          <w:rFonts w:eastAsia="Batang"/>
          <w:sz w:val="24"/>
          <w:szCs w:val="24"/>
          <w:lang w:eastAsia="ko-KR"/>
        </w:rPr>
        <w:t xml:space="preserve">– Югры </w:t>
      </w:r>
      <w:r w:rsidRPr="003E7150">
        <w:rPr>
          <w:rFonts w:eastAsia="Batang"/>
          <w:sz w:val="24"/>
          <w:szCs w:val="24"/>
          <w:lang w:eastAsia="ko-KR"/>
        </w:rPr>
        <w:t xml:space="preserve">и местного бюджета в соответствии </w:t>
      </w:r>
      <w:r w:rsidRPr="003E7150">
        <w:rPr>
          <w:sz w:val="24"/>
          <w:szCs w:val="24"/>
        </w:rPr>
        <w:t>порядком, приведенным в приложении 3 к государственной программе Ханты-Мансийского автономного округа – Югры «Развитие жилищной сферы», и муниципальными контрактами, заключенными в порядке, установленном законодательством Российской Федерации.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 xml:space="preserve">ероприятие 3 «Выполнение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комплекса» предусматривает ежегодное проведение мероприятий для научного обоснования принимаемых решений по развитию жилищно-коммунального комплекса </w:t>
      </w:r>
      <w:r>
        <w:rPr>
          <w:sz w:val="24"/>
          <w:szCs w:val="24"/>
        </w:rPr>
        <w:t xml:space="preserve">                      </w:t>
      </w:r>
      <w:r w:rsidRPr="003E7150">
        <w:rPr>
          <w:sz w:val="24"/>
          <w:szCs w:val="24"/>
        </w:rPr>
        <w:t xml:space="preserve">и </w:t>
      </w:r>
      <w:r w:rsidRPr="003E7150">
        <w:rPr>
          <w:sz w:val="24"/>
          <w:szCs w:val="24"/>
          <w:lang w:eastAsia="ru-RU"/>
        </w:rPr>
        <w:t>обеспечения функционирования жилищно-коммунального комплекса в соответствии</w:t>
      </w:r>
      <w:r>
        <w:rPr>
          <w:sz w:val="24"/>
          <w:szCs w:val="24"/>
          <w:lang w:eastAsia="ru-RU"/>
        </w:rPr>
        <w:t xml:space="preserve">                     </w:t>
      </w:r>
      <w:r w:rsidRPr="003E7150">
        <w:rPr>
          <w:sz w:val="24"/>
          <w:szCs w:val="24"/>
          <w:lang w:eastAsia="ru-RU"/>
        </w:rPr>
        <w:t xml:space="preserve"> с действующим законодательством на уровне муниципального образования (наличие актуальных схем, программ и прочих нормативных документов)</w:t>
      </w:r>
      <w:r w:rsidRPr="003E7150">
        <w:rPr>
          <w:sz w:val="24"/>
          <w:szCs w:val="24"/>
        </w:rPr>
        <w:t>.</w:t>
      </w:r>
      <w:proofErr w:type="gramEnd"/>
      <w:r w:rsidRPr="003E7150">
        <w:rPr>
          <w:sz w:val="24"/>
          <w:szCs w:val="24"/>
        </w:rPr>
        <w:t xml:space="preserve"> </w:t>
      </w:r>
      <w:r w:rsidRPr="003E7150">
        <w:rPr>
          <w:rFonts w:eastAsia="Batang"/>
          <w:sz w:val="24"/>
          <w:szCs w:val="24"/>
          <w:lang w:eastAsia="ko-KR"/>
        </w:rPr>
        <w:t>Мероприятие реализуется</w:t>
      </w:r>
      <w:r>
        <w:rPr>
          <w:rFonts w:eastAsia="Batang"/>
          <w:sz w:val="24"/>
          <w:szCs w:val="24"/>
          <w:lang w:eastAsia="ko-KR"/>
        </w:rPr>
        <w:t xml:space="preserve">           </w:t>
      </w:r>
      <w:r w:rsidRPr="003E7150">
        <w:rPr>
          <w:rFonts w:eastAsia="Batang"/>
          <w:sz w:val="24"/>
          <w:szCs w:val="24"/>
          <w:lang w:eastAsia="ko-KR"/>
        </w:rPr>
        <w:t xml:space="preserve"> за счет средств местного бюджета в соответствии с</w:t>
      </w:r>
      <w:r w:rsidRPr="003E7150">
        <w:rPr>
          <w:sz w:val="24"/>
          <w:szCs w:val="24"/>
        </w:rPr>
        <w:t xml:space="preserve"> муниципальными контрактами, заключенными в порядке, установленном законодательством Российской Федерации</w:t>
      </w:r>
      <w:r w:rsidRPr="003E7150">
        <w:rPr>
          <w:sz w:val="24"/>
          <w:szCs w:val="24"/>
          <w:lang w:eastAsia="ru-RU"/>
        </w:rPr>
        <w:t>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 xml:space="preserve">ероприятие 4 «Поддержка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сфере» предполагает реализацию проектов, направленных на уменьшение потребления энергетических ресурсов в различных отраслях экономики, бюджетной сфере и жилищно-коммунальном комплексе. </w:t>
      </w:r>
      <w:r w:rsidRPr="003E7150">
        <w:rPr>
          <w:rFonts w:eastAsia="Batang"/>
          <w:sz w:val="24"/>
          <w:szCs w:val="24"/>
          <w:lang w:eastAsia="ko-KR"/>
        </w:rPr>
        <w:t xml:space="preserve">Мероприятие реализуется </w:t>
      </w:r>
      <w:r w:rsidRPr="003E7150">
        <w:rPr>
          <w:sz w:val="24"/>
          <w:szCs w:val="24"/>
        </w:rPr>
        <w:lastRenderedPageBreak/>
        <w:t xml:space="preserve">в соответствии с условиями концессионного соглашения (и (или) иных инвестиционных проектов), а также </w:t>
      </w:r>
      <w:r w:rsidRPr="003E7150">
        <w:rPr>
          <w:sz w:val="24"/>
          <w:szCs w:val="24"/>
          <w:lang w:eastAsia="ru-RU"/>
        </w:rPr>
        <w:t>порядком, приведенным в приложении 3 к государственной программе Ханты-Мансийского автономного округа – Югры «Жилищно-коммунальный комплекс</w:t>
      </w:r>
      <w:r>
        <w:rPr>
          <w:sz w:val="24"/>
          <w:szCs w:val="24"/>
          <w:lang w:eastAsia="ru-RU"/>
        </w:rPr>
        <w:t xml:space="preserve">                     </w:t>
      </w:r>
      <w:r w:rsidRPr="003E7150">
        <w:rPr>
          <w:sz w:val="24"/>
          <w:szCs w:val="24"/>
          <w:lang w:eastAsia="ru-RU"/>
        </w:rPr>
        <w:t xml:space="preserve"> и городская среда».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>ероприятие 5 «</w:t>
      </w:r>
      <w:r w:rsidRPr="00280089">
        <w:rPr>
          <w:sz w:val="24"/>
          <w:szCs w:val="24"/>
        </w:rPr>
        <w:t>Предоставление субсидий организациям коммунального комплекса</w:t>
      </w:r>
      <w:r w:rsidRPr="003E7150">
        <w:rPr>
          <w:sz w:val="24"/>
          <w:szCs w:val="24"/>
        </w:rPr>
        <w:t>» предусматривает возмещение части затрат на уплату процентов по привлекаемым заемным средствам, направленны</w:t>
      </w:r>
      <w:r>
        <w:rPr>
          <w:sz w:val="24"/>
          <w:szCs w:val="24"/>
        </w:rPr>
        <w:t>м</w:t>
      </w:r>
      <w:r w:rsidRPr="003E7150">
        <w:rPr>
          <w:sz w:val="24"/>
          <w:szCs w:val="24"/>
        </w:rPr>
        <w:t xml:space="preserve"> на оплату задолженности организаций коммунального комплекса за потребленные энергоресурсы. </w:t>
      </w:r>
      <w:proofErr w:type="gramStart"/>
      <w:r w:rsidRPr="003E7150">
        <w:rPr>
          <w:sz w:val="24"/>
          <w:szCs w:val="24"/>
        </w:rPr>
        <w:t>Данное мероприятие также предусматривает возмещение части затрат на уплату процентов по привлекаемым</w:t>
      </w:r>
      <w:r>
        <w:rPr>
          <w:sz w:val="24"/>
          <w:szCs w:val="24"/>
        </w:rPr>
        <w:t xml:space="preserve"> заемным средствам, направленным</w:t>
      </w:r>
      <w:r w:rsidRPr="003E7150">
        <w:rPr>
          <w:sz w:val="24"/>
          <w:szCs w:val="24"/>
        </w:rPr>
        <w:t xml:space="preserve"> на реализацию инвестиционных проектов в сфере жилищно-коммунального комплекса</w:t>
      </w:r>
      <w:r>
        <w:rPr>
          <w:sz w:val="24"/>
          <w:szCs w:val="24"/>
        </w:rPr>
        <w:t xml:space="preserve">, и </w:t>
      </w:r>
      <w:r w:rsidRPr="003E7150">
        <w:rPr>
          <w:sz w:val="24"/>
          <w:szCs w:val="24"/>
        </w:rPr>
        <w:t xml:space="preserve">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категорий потребителей) за поставляемые ресурсы.</w:t>
      </w:r>
      <w:proofErr w:type="gramEnd"/>
      <w:r w:rsidRPr="003E7150">
        <w:rPr>
          <w:sz w:val="24"/>
          <w:szCs w:val="24"/>
        </w:rPr>
        <w:t xml:space="preserve"> </w:t>
      </w:r>
      <w:r w:rsidRPr="003E7150">
        <w:rPr>
          <w:rFonts w:eastAsia="Batang"/>
          <w:sz w:val="24"/>
          <w:szCs w:val="24"/>
          <w:lang w:eastAsia="ko-KR"/>
        </w:rPr>
        <w:t xml:space="preserve">Мероприятие реализуется </w:t>
      </w:r>
      <w:r w:rsidRPr="003E7150">
        <w:rPr>
          <w:sz w:val="24"/>
          <w:szCs w:val="24"/>
        </w:rPr>
        <w:t xml:space="preserve">в соответствии с постановлением администрации города Югорска 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Югорска», а также </w:t>
      </w:r>
      <w:r w:rsidRPr="003E7150">
        <w:rPr>
          <w:sz w:val="24"/>
          <w:szCs w:val="24"/>
          <w:lang w:eastAsia="ru-RU"/>
        </w:rPr>
        <w:t>порядком, приведенным в приложении 4 к государственной программе Ханты-Мансийского автономного округа – Югры «Жилищно-коммунальный комплекс</w:t>
      </w:r>
      <w:r>
        <w:rPr>
          <w:sz w:val="24"/>
          <w:szCs w:val="24"/>
          <w:lang w:eastAsia="ru-RU"/>
        </w:rPr>
        <w:t xml:space="preserve">                    </w:t>
      </w:r>
      <w:r w:rsidRPr="003E7150">
        <w:rPr>
          <w:sz w:val="24"/>
          <w:szCs w:val="24"/>
          <w:lang w:eastAsia="ru-RU"/>
        </w:rPr>
        <w:t xml:space="preserve"> и городская среда».</w:t>
      </w:r>
    </w:p>
    <w:p w:rsidR="005F6CCF" w:rsidRPr="003E7150" w:rsidRDefault="005F6CCF" w:rsidP="005F6CCF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>ероприятие 6 «Организационно-техническое и финансов</w:t>
      </w:r>
      <w:r>
        <w:rPr>
          <w:sz w:val="24"/>
          <w:szCs w:val="24"/>
        </w:rPr>
        <w:t>ое обеспечение деятельности Д</w:t>
      </w:r>
      <w:r w:rsidRPr="003E7150">
        <w:rPr>
          <w:sz w:val="24"/>
          <w:szCs w:val="24"/>
        </w:rPr>
        <w:t xml:space="preserve">епартамента жилищно-коммунального и строительного комплекса администрации города Югорска» предусматривает </w:t>
      </w:r>
      <w:r w:rsidRPr="003E7150">
        <w:rPr>
          <w:sz w:val="24"/>
          <w:szCs w:val="24"/>
          <w:lang w:eastAsia="ru-RU"/>
        </w:rPr>
        <w:t xml:space="preserve">финансовое обеспечение деятельности органов местного самоуправления </w:t>
      </w:r>
      <w:r>
        <w:rPr>
          <w:sz w:val="24"/>
          <w:szCs w:val="24"/>
          <w:lang w:eastAsia="ru-RU"/>
        </w:rPr>
        <w:t xml:space="preserve">города Югорска </w:t>
      </w:r>
      <w:r w:rsidRPr="003E7150">
        <w:rPr>
          <w:sz w:val="24"/>
          <w:szCs w:val="24"/>
          <w:lang w:eastAsia="ru-RU"/>
        </w:rPr>
        <w:t xml:space="preserve">в сфере жилищно-коммунального </w:t>
      </w:r>
      <w:r>
        <w:rPr>
          <w:sz w:val="24"/>
          <w:szCs w:val="24"/>
          <w:lang w:eastAsia="ru-RU"/>
        </w:rPr>
        <w:t xml:space="preserve">                       </w:t>
      </w:r>
      <w:r w:rsidRPr="003E7150">
        <w:rPr>
          <w:sz w:val="24"/>
          <w:szCs w:val="24"/>
          <w:lang w:eastAsia="ru-RU"/>
        </w:rPr>
        <w:t>и строительного комплекса, оплату земельного налога, опла</w:t>
      </w:r>
      <w:r>
        <w:rPr>
          <w:sz w:val="24"/>
          <w:szCs w:val="24"/>
          <w:lang w:eastAsia="ru-RU"/>
        </w:rPr>
        <w:t>ту членских взносов за участие Д</w:t>
      </w:r>
      <w:r w:rsidRPr="003E7150">
        <w:rPr>
          <w:sz w:val="24"/>
          <w:szCs w:val="24"/>
          <w:lang w:eastAsia="ru-RU"/>
        </w:rPr>
        <w:t>епартамента жилищно-коммунального и строительного комплекса в Саморегулируемой организации, проведение инвентаризации, паспортизации построенных объектов, оплату</w:t>
      </w:r>
      <w:r>
        <w:rPr>
          <w:sz w:val="24"/>
          <w:szCs w:val="24"/>
          <w:lang w:eastAsia="ru-RU"/>
        </w:rPr>
        <w:t xml:space="preserve">                    </w:t>
      </w:r>
      <w:r w:rsidRPr="003E7150">
        <w:rPr>
          <w:sz w:val="24"/>
          <w:szCs w:val="24"/>
          <w:lang w:eastAsia="ru-RU"/>
        </w:rPr>
        <w:t xml:space="preserve"> за ответственное хранение материалов и оборудования, оплату</w:t>
      </w:r>
      <w:proofErr w:type="gramEnd"/>
      <w:r w:rsidRPr="003E7150">
        <w:rPr>
          <w:sz w:val="24"/>
          <w:szCs w:val="24"/>
          <w:lang w:eastAsia="ru-RU"/>
        </w:rPr>
        <w:t xml:space="preserve"> штрафов, проведение встреч </w:t>
      </w:r>
      <w:r>
        <w:rPr>
          <w:sz w:val="24"/>
          <w:szCs w:val="24"/>
          <w:lang w:eastAsia="ru-RU"/>
        </w:rPr>
        <w:t xml:space="preserve">            </w:t>
      </w:r>
      <w:r w:rsidRPr="003E7150">
        <w:rPr>
          <w:sz w:val="24"/>
          <w:szCs w:val="24"/>
          <w:lang w:eastAsia="ru-RU"/>
        </w:rPr>
        <w:t xml:space="preserve">с </w:t>
      </w:r>
      <w:proofErr w:type="gramStart"/>
      <w:r w:rsidRPr="003E7150">
        <w:rPr>
          <w:sz w:val="24"/>
          <w:szCs w:val="24"/>
          <w:lang w:eastAsia="ru-RU"/>
        </w:rPr>
        <w:t>обучающимися</w:t>
      </w:r>
      <w:proofErr w:type="gramEnd"/>
      <w:r w:rsidRPr="003E7150">
        <w:rPr>
          <w:sz w:val="24"/>
          <w:szCs w:val="24"/>
          <w:lang w:eastAsia="ru-RU"/>
        </w:rPr>
        <w:t xml:space="preserve"> общеобразовательных организаций по вопросам бережного отношения </w:t>
      </w:r>
      <w:r>
        <w:rPr>
          <w:sz w:val="24"/>
          <w:szCs w:val="24"/>
          <w:lang w:eastAsia="ru-RU"/>
        </w:rPr>
        <w:t xml:space="preserve">             </w:t>
      </w:r>
      <w:r w:rsidRPr="003E7150">
        <w:rPr>
          <w:sz w:val="24"/>
          <w:szCs w:val="24"/>
          <w:lang w:eastAsia="ru-RU"/>
        </w:rPr>
        <w:t xml:space="preserve">к коммунальным ресурсам, общему имуществу жилых домов и общественных мест, </w:t>
      </w:r>
      <w:r w:rsidRPr="002A1730">
        <w:rPr>
          <w:sz w:val="24"/>
          <w:szCs w:val="24"/>
          <w:lang w:eastAsia="ru-RU"/>
        </w:rPr>
        <w:t>осуществление переданного государственного полномочия по предоставлению субсидий</w:t>
      </w:r>
      <w:r>
        <w:rPr>
          <w:sz w:val="24"/>
          <w:szCs w:val="24"/>
          <w:lang w:eastAsia="ru-RU"/>
        </w:rPr>
        <w:t xml:space="preserve">               </w:t>
      </w:r>
      <w:r w:rsidRPr="002A1730">
        <w:rPr>
          <w:sz w:val="24"/>
          <w:szCs w:val="24"/>
          <w:lang w:eastAsia="ru-RU"/>
        </w:rPr>
        <w:t xml:space="preserve"> на возмещение недополученных доходов организациям, осуществляющим реализацию населению сжиженного газа</w:t>
      </w:r>
      <w:r>
        <w:rPr>
          <w:sz w:val="24"/>
          <w:szCs w:val="24"/>
          <w:lang w:eastAsia="ru-RU"/>
        </w:rPr>
        <w:t>,</w:t>
      </w:r>
      <w:r w:rsidRPr="002A1730">
        <w:rPr>
          <w:sz w:val="24"/>
          <w:szCs w:val="24"/>
          <w:lang w:eastAsia="ru-RU"/>
        </w:rPr>
        <w:t xml:space="preserve"> </w:t>
      </w:r>
      <w:r w:rsidRPr="003E7150">
        <w:rPr>
          <w:sz w:val="24"/>
          <w:szCs w:val="24"/>
          <w:lang w:eastAsia="ru-RU"/>
        </w:rPr>
        <w:t xml:space="preserve">прочие затраты. </w:t>
      </w:r>
      <w:r w:rsidRPr="003E7150">
        <w:rPr>
          <w:rFonts w:eastAsia="Batang"/>
          <w:sz w:val="24"/>
          <w:szCs w:val="24"/>
          <w:lang w:eastAsia="ko-KR"/>
        </w:rPr>
        <w:t xml:space="preserve">Мероприятие реализуется </w:t>
      </w:r>
      <w:r w:rsidRPr="003E7150">
        <w:rPr>
          <w:sz w:val="24"/>
          <w:szCs w:val="24"/>
          <w:lang w:eastAsia="ru-RU"/>
        </w:rPr>
        <w:t xml:space="preserve">в соответствии </w:t>
      </w:r>
      <w:r>
        <w:rPr>
          <w:sz w:val="24"/>
          <w:szCs w:val="24"/>
          <w:lang w:eastAsia="ru-RU"/>
        </w:rPr>
        <w:t xml:space="preserve">                </w:t>
      </w:r>
      <w:r w:rsidRPr="003E7150">
        <w:rPr>
          <w:sz w:val="24"/>
          <w:szCs w:val="24"/>
          <w:lang w:eastAsia="ru-RU"/>
        </w:rPr>
        <w:t xml:space="preserve">с </w:t>
      </w:r>
      <w:r>
        <w:rPr>
          <w:sz w:val="24"/>
          <w:szCs w:val="24"/>
          <w:lang w:eastAsia="ru-RU"/>
        </w:rPr>
        <w:t xml:space="preserve">муниципальными </w:t>
      </w:r>
      <w:r w:rsidRPr="003E7150">
        <w:rPr>
          <w:sz w:val="24"/>
          <w:szCs w:val="24"/>
          <w:lang w:eastAsia="ru-RU"/>
        </w:rPr>
        <w:t>правовыми актами города Югорска.</w:t>
      </w:r>
    </w:p>
    <w:p w:rsidR="005F6CCF" w:rsidRPr="003E7150" w:rsidRDefault="005F6CCF" w:rsidP="005F6CCF">
      <w:pPr>
        <w:suppressAutoHyphens w:val="0"/>
        <w:ind w:firstLine="709"/>
        <w:jc w:val="both"/>
        <w:rPr>
          <w:rFonts w:eastAsia="Batang"/>
          <w:sz w:val="24"/>
          <w:szCs w:val="24"/>
          <w:lang w:eastAsia="ko-KR"/>
        </w:rPr>
      </w:pPr>
      <w:proofErr w:type="gramStart"/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 xml:space="preserve">ероприятие 7 «Муниципальная поддержка на проведение капитального ремонта многоквартирных домов» предусматривает предоставление муниципальной поддержки на долевое финансирование проведения капитального ремонта общего имущества </w:t>
      </w:r>
      <w:r>
        <w:rPr>
          <w:sz w:val="24"/>
          <w:szCs w:val="24"/>
        </w:rPr>
        <w:t xml:space="preserve">                             </w:t>
      </w:r>
      <w:r w:rsidRPr="003E7150">
        <w:rPr>
          <w:sz w:val="24"/>
          <w:szCs w:val="24"/>
        </w:rPr>
        <w:t xml:space="preserve">в многоквартирных домах, в соответствии с Жилищным кодексом Российской Федерации, Законом Ханты – Мансийского автономного округа – Югры от </w:t>
      </w:r>
      <w:r>
        <w:rPr>
          <w:sz w:val="24"/>
          <w:szCs w:val="24"/>
        </w:rPr>
        <w:t>01.07</w:t>
      </w:r>
      <w:r w:rsidRPr="003E7150">
        <w:rPr>
          <w:sz w:val="24"/>
          <w:szCs w:val="24"/>
        </w:rPr>
        <w:t xml:space="preserve">.2013 № 54-оз </w:t>
      </w:r>
      <w:r>
        <w:rPr>
          <w:sz w:val="24"/>
          <w:szCs w:val="24"/>
        </w:rPr>
        <w:t xml:space="preserve">                        </w:t>
      </w:r>
      <w:r w:rsidRPr="003E7150">
        <w:rPr>
          <w:sz w:val="24"/>
          <w:szCs w:val="24"/>
        </w:rPr>
        <w:t>«Об организации проведения капитального ремонта общего имущества в многоквартирных домах, расположенных на территории Ханты – Мансийского автономного округа – Югры</w:t>
      </w:r>
      <w:proofErr w:type="gramEnd"/>
      <w:r w:rsidRPr="003E7150">
        <w:rPr>
          <w:sz w:val="24"/>
          <w:szCs w:val="24"/>
        </w:rPr>
        <w:t xml:space="preserve">». </w:t>
      </w:r>
      <w:proofErr w:type="gramStart"/>
      <w:r w:rsidRPr="003E7150">
        <w:rPr>
          <w:rFonts w:eastAsia="Batang"/>
          <w:sz w:val="24"/>
          <w:szCs w:val="24"/>
          <w:lang w:eastAsia="ko-KR"/>
        </w:rPr>
        <w:t xml:space="preserve">Мероприятие реализуется за счет средств местного бюджета, </w:t>
      </w:r>
      <w:r w:rsidRPr="003E7150">
        <w:rPr>
          <w:bCs/>
          <w:sz w:val="24"/>
          <w:szCs w:val="24"/>
          <w:lang w:eastAsia="ru-RU"/>
        </w:rPr>
        <w:t xml:space="preserve">предоставляемых в форме субсидий на долевое финансирование проведения капитального ремонта многоквартирных домов, в соответствии с </w:t>
      </w:r>
      <w:r w:rsidRPr="003E7150">
        <w:rPr>
          <w:rFonts w:eastAsia="Batang"/>
          <w:sz w:val="24"/>
          <w:szCs w:val="24"/>
          <w:lang w:eastAsia="ko-KR"/>
        </w:rPr>
        <w:t xml:space="preserve">постановлением администрации города Югорска от 19.09.2017 № 2255 «Об утверждении </w:t>
      </w:r>
      <w:r w:rsidRPr="003E7150">
        <w:rPr>
          <w:sz w:val="24"/>
          <w:szCs w:val="24"/>
          <w:lang w:eastAsia="ru-RU"/>
        </w:rPr>
        <w:t>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города Югорска»</w:t>
      </w:r>
      <w:r w:rsidRPr="003E7150">
        <w:rPr>
          <w:bCs/>
          <w:sz w:val="24"/>
          <w:szCs w:val="24"/>
          <w:lang w:eastAsia="ru-RU"/>
        </w:rPr>
        <w:t>.</w:t>
      </w:r>
      <w:proofErr w:type="gramEnd"/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>ероприятие 8 «Ремонт муниципального жилищного фонда» предусматривает проведение работ по ремонту муниципального жилищного фонда, с целью приведения данного жилищного фонда в состояние, пригодное для проживания, поскольку обязанность проводить капитальный ремонт муниципального жилищного фонда возложена на органы местного самоуправления</w:t>
      </w:r>
      <w:r>
        <w:rPr>
          <w:sz w:val="24"/>
          <w:szCs w:val="24"/>
        </w:rPr>
        <w:t xml:space="preserve"> города Югорска</w:t>
      </w:r>
      <w:r w:rsidRPr="003E7150">
        <w:rPr>
          <w:sz w:val="24"/>
          <w:szCs w:val="24"/>
        </w:rPr>
        <w:t xml:space="preserve">, как собственника жилых и нежилых помещений. </w:t>
      </w:r>
      <w:r w:rsidRPr="003E7150">
        <w:rPr>
          <w:rFonts w:eastAsia="Batang"/>
          <w:sz w:val="24"/>
          <w:szCs w:val="24"/>
          <w:lang w:eastAsia="ko-KR"/>
        </w:rPr>
        <w:t>Мероприятие реализуется за счет средств местного бюджета в соответствии с</w:t>
      </w:r>
      <w:r w:rsidRPr="003E7150">
        <w:rPr>
          <w:sz w:val="24"/>
          <w:szCs w:val="24"/>
        </w:rPr>
        <w:t xml:space="preserve"> муниципальными контрактами, заключенными в порядке, установленном законодательством Российской Федерации.</w:t>
      </w:r>
      <w:r w:rsidRPr="003E7150">
        <w:rPr>
          <w:lang w:eastAsia="ru-RU"/>
        </w:rPr>
        <w:t xml:space="preserve"> </w:t>
      </w: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>ероприятие 9 «</w:t>
      </w:r>
      <w:r w:rsidRPr="003E7150">
        <w:rPr>
          <w:sz w:val="24"/>
          <w:szCs w:val="24"/>
          <w:lang w:eastAsia="ru-RU"/>
        </w:rPr>
        <w:t>Приведение в технически исправное состояние жилых домов, использовавшихся до 01.01.2012 в качестве общежитий</w:t>
      </w:r>
      <w:r w:rsidRPr="003E7150">
        <w:rPr>
          <w:sz w:val="24"/>
          <w:szCs w:val="24"/>
        </w:rPr>
        <w:t xml:space="preserve">» предусматривает предоставление </w:t>
      </w:r>
      <w:r>
        <w:rPr>
          <w:sz w:val="24"/>
          <w:szCs w:val="24"/>
        </w:rPr>
        <w:lastRenderedPageBreak/>
        <w:t xml:space="preserve">субсидии </w:t>
      </w:r>
      <w:r w:rsidRPr="00EC757D">
        <w:rPr>
          <w:sz w:val="24"/>
          <w:szCs w:val="24"/>
        </w:rPr>
        <w:t>на возмещение части затрат на проведение ремонтных работ в жилых домах города Югорска, использовавшихся до 01 января 2012 года в качестве общежитий, и не подлежащих включению в региональную программу капитального ремонта, с целью приведения данного жилищного фонда в состояние, пригодное для</w:t>
      </w:r>
      <w:proofErr w:type="gramEnd"/>
      <w:r w:rsidRPr="00EC757D">
        <w:rPr>
          <w:sz w:val="24"/>
          <w:szCs w:val="24"/>
        </w:rPr>
        <w:t xml:space="preserve"> проживания</w:t>
      </w:r>
      <w:r w:rsidRPr="003E7150">
        <w:rPr>
          <w:sz w:val="24"/>
          <w:szCs w:val="24"/>
        </w:rPr>
        <w:t xml:space="preserve">. </w:t>
      </w:r>
      <w:proofErr w:type="gramStart"/>
      <w:r w:rsidRPr="003E7150">
        <w:rPr>
          <w:sz w:val="24"/>
          <w:szCs w:val="24"/>
        </w:rPr>
        <w:t xml:space="preserve">Мероприятие реализуется за счет средств местного бюджета, предоставляемых в форме субсидий юридическим лицам </w:t>
      </w:r>
      <w:r>
        <w:rPr>
          <w:sz w:val="24"/>
          <w:szCs w:val="24"/>
        </w:rPr>
        <w:t xml:space="preserve">                    </w:t>
      </w:r>
      <w:r w:rsidRPr="003E7150">
        <w:rPr>
          <w:sz w:val="24"/>
          <w:szCs w:val="24"/>
        </w:rPr>
        <w:t>(за исключением субсидий государственным (муниципальным учреждениям)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в соответствии</w:t>
      </w:r>
      <w:r>
        <w:rPr>
          <w:sz w:val="24"/>
          <w:szCs w:val="24"/>
        </w:rPr>
        <w:t xml:space="preserve">                  </w:t>
      </w:r>
      <w:r w:rsidRPr="003E7150">
        <w:rPr>
          <w:sz w:val="24"/>
          <w:szCs w:val="24"/>
        </w:rPr>
        <w:t xml:space="preserve"> с постановлением администрации города Югорска от 06.12.2017 № 3015 «Об утверждении Порядка предоставления субсидий юридическим лицам (за исключением</w:t>
      </w:r>
      <w:proofErr w:type="gramEnd"/>
      <w:r w:rsidRPr="003E7150">
        <w:rPr>
          <w:sz w:val="24"/>
          <w:szCs w:val="24"/>
        </w:rPr>
        <w:t xml:space="preserve">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Югорска».</w:t>
      </w: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Основное м</w:t>
      </w:r>
      <w:r w:rsidRPr="003E7150">
        <w:rPr>
          <w:sz w:val="24"/>
          <w:szCs w:val="24"/>
        </w:rPr>
        <w:t xml:space="preserve">ероприятие 10 «Привлечение населения к самостоятельному решению вопросов содержания, благоустройства и повышения </w:t>
      </w:r>
      <w:proofErr w:type="spellStart"/>
      <w:r w:rsidRPr="003E7150">
        <w:rPr>
          <w:sz w:val="24"/>
          <w:szCs w:val="24"/>
        </w:rPr>
        <w:t>энергоэффективности</w:t>
      </w:r>
      <w:proofErr w:type="spellEnd"/>
      <w:r w:rsidRPr="003E7150">
        <w:rPr>
          <w:sz w:val="24"/>
          <w:szCs w:val="24"/>
        </w:rPr>
        <w:t xml:space="preserve"> жилищного фонда» предусматривает проведение информационно-разъяснительной работы с населением </w:t>
      </w:r>
      <w:r>
        <w:rPr>
          <w:sz w:val="24"/>
          <w:szCs w:val="24"/>
        </w:rPr>
        <w:t xml:space="preserve">                       </w:t>
      </w:r>
      <w:r w:rsidRPr="003E7150">
        <w:rPr>
          <w:sz w:val="24"/>
          <w:szCs w:val="24"/>
        </w:rPr>
        <w:t>по вопросам сферы жилищно-коммунального хозяйства, энергосбережения и повышения энергетической эффективности путем привлечения специалистов профильных организаций для проведения обучающих семинаров, участие в ежегодном фестивале энергосбережения, проведение городских конкурсов на образцовое содержание домов и прилегающих территорий.</w:t>
      </w:r>
      <w:proofErr w:type="gramEnd"/>
      <w:r w:rsidRPr="003E7150">
        <w:rPr>
          <w:sz w:val="24"/>
          <w:szCs w:val="24"/>
        </w:rPr>
        <w:t xml:space="preserve"> Кроме того, </w:t>
      </w:r>
      <w:r w:rsidRPr="003E7150">
        <w:rPr>
          <w:sz w:val="24"/>
          <w:szCs w:val="24"/>
          <w:lang w:eastAsia="ru-RU"/>
        </w:rPr>
        <w:t xml:space="preserve">в целях реализации </w:t>
      </w:r>
      <w:hyperlink r:id="rId7" w:history="1">
        <w:r w:rsidRPr="003E7150">
          <w:rPr>
            <w:sz w:val="24"/>
            <w:szCs w:val="24"/>
            <w:lang w:eastAsia="ru-RU"/>
          </w:rPr>
          <w:t>Концепции</w:t>
        </w:r>
      </w:hyperlink>
      <w:r w:rsidRPr="003E7150">
        <w:rPr>
          <w:sz w:val="24"/>
          <w:szCs w:val="24"/>
          <w:lang w:eastAsia="ru-RU"/>
        </w:rPr>
        <w:t xml:space="preserve"> «Бережливый регион» </w:t>
      </w:r>
      <w:proofErr w:type="gramStart"/>
      <w:r w:rsidRPr="003E7150">
        <w:rPr>
          <w:sz w:val="24"/>
          <w:szCs w:val="24"/>
          <w:lang w:eastAsia="ru-RU"/>
        </w:rPr>
        <w:t>в</w:t>
      </w:r>
      <w:proofErr w:type="gramEnd"/>
      <w:r w:rsidRPr="003E7150">
        <w:rPr>
          <w:sz w:val="24"/>
          <w:szCs w:val="24"/>
          <w:lang w:eastAsia="ru-RU"/>
        </w:rPr>
        <w:t xml:space="preserve"> </w:t>
      </w:r>
      <w:proofErr w:type="gramStart"/>
      <w:r w:rsidRPr="003E7150">
        <w:rPr>
          <w:sz w:val="24"/>
          <w:szCs w:val="24"/>
          <w:lang w:eastAsia="ru-RU"/>
        </w:rPr>
        <w:t>Ханты-Мансийском</w:t>
      </w:r>
      <w:proofErr w:type="gramEnd"/>
      <w:r w:rsidRPr="003E7150">
        <w:rPr>
          <w:sz w:val="24"/>
          <w:szCs w:val="24"/>
          <w:lang w:eastAsia="ru-RU"/>
        </w:rPr>
        <w:t xml:space="preserve"> автономном округе - Югре, утвержденной </w:t>
      </w:r>
      <w:hyperlink r:id="rId8" w:history="1">
        <w:r w:rsidRPr="003E7150">
          <w:rPr>
            <w:sz w:val="24"/>
            <w:szCs w:val="24"/>
            <w:lang w:eastAsia="ru-RU"/>
          </w:rPr>
          <w:t>распоряжением</w:t>
        </w:r>
      </w:hyperlink>
      <w:r w:rsidRPr="003E7150">
        <w:rPr>
          <w:sz w:val="24"/>
          <w:szCs w:val="24"/>
          <w:lang w:eastAsia="ru-RU"/>
        </w:rPr>
        <w:t xml:space="preserve"> Правительства </w:t>
      </w:r>
      <w:r>
        <w:rPr>
          <w:sz w:val="24"/>
          <w:szCs w:val="24"/>
          <w:lang w:eastAsia="ru-RU"/>
        </w:rPr>
        <w:t xml:space="preserve">Ханты-Мансийского </w:t>
      </w:r>
      <w:r w:rsidRPr="003E7150">
        <w:rPr>
          <w:sz w:val="24"/>
          <w:szCs w:val="24"/>
          <w:lang w:eastAsia="ru-RU"/>
        </w:rPr>
        <w:t xml:space="preserve">автономного округа </w:t>
      </w:r>
      <w:r>
        <w:rPr>
          <w:sz w:val="24"/>
          <w:szCs w:val="24"/>
          <w:lang w:eastAsia="ru-RU"/>
        </w:rPr>
        <w:t xml:space="preserve">– Югры </w:t>
      </w:r>
      <w:r w:rsidRPr="003E7150">
        <w:rPr>
          <w:sz w:val="24"/>
          <w:szCs w:val="24"/>
          <w:lang w:eastAsia="ru-RU"/>
        </w:rPr>
        <w:t xml:space="preserve">от 19.08.2016 № 455-рп, в рамках данного мероприятия планируется проведение работы по пропаганде бережливого производства, обучению сотрудников организаций жилищно-коммунального комплекса принципам бережливого производства, мониторинг и регулярный контроль качества предоставляемых услуг. </w:t>
      </w:r>
      <w:r w:rsidRPr="003E7150">
        <w:rPr>
          <w:sz w:val="24"/>
          <w:szCs w:val="24"/>
        </w:rPr>
        <w:t xml:space="preserve">Мероприятие реализуется </w:t>
      </w:r>
      <w:r w:rsidRPr="003E7150">
        <w:rPr>
          <w:rFonts w:eastAsia="Batang"/>
          <w:sz w:val="24"/>
          <w:szCs w:val="24"/>
          <w:lang w:eastAsia="ko-KR"/>
        </w:rPr>
        <w:t>за счет средств местного бюджета в соответствии с</w:t>
      </w:r>
      <w:r w:rsidRPr="003E7150">
        <w:rPr>
          <w:sz w:val="24"/>
          <w:szCs w:val="24"/>
        </w:rPr>
        <w:t xml:space="preserve"> муниципальными контрактами, заключенными в порядке, установленном законодательством Российской Федерации.</w:t>
      </w:r>
      <w:r w:rsidRPr="003E7150">
        <w:rPr>
          <w:lang w:eastAsia="ru-RU"/>
        </w:rPr>
        <w:t xml:space="preserve"> </w:t>
      </w:r>
    </w:p>
    <w:p w:rsidR="005F6CCF" w:rsidRPr="003E7150" w:rsidRDefault="005F6CCF" w:rsidP="005F6CCF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3E7150">
        <w:rPr>
          <w:rFonts w:ascii="Times New Roman" w:eastAsia="Batang" w:hAnsi="Times New Roman"/>
          <w:sz w:val="24"/>
          <w:szCs w:val="24"/>
          <w:lang w:eastAsia="ko-KR"/>
        </w:rPr>
        <w:t>Реализация мероприятий муниципальной программы (а также программ муниципальных учреждений и предприятий коммунального комплекса города Югорска)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достижению общих целевых показателей  в области энергосбережения и повышения энергетической эффективности, установленных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</w:t>
      </w:r>
      <w:proofErr w:type="gramEnd"/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 повышения энергетической эффективности» (приложение </w:t>
      </w:r>
      <w:r>
        <w:rPr>
          <w:rFonts w:ascii="Times New Roman" w:eastAsia="Batang" w:hAnsi="Times New Roman"/>
          <w:sz w:val="24"/>
          <w:szCs w:val="24"/>
          <w:lang w:eastAsia="ko-KR"/>
        </w:rPr>
        <w:t>1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>).</w:t>
      </w:r>
    </w:p>
    <w:p w:rsidR="005F6CCF" w:rsidRPr="003E7150" w:rsidRDefault="005F6CCF" w:rsidP="005F6CCF">
      <w:pPr>
        <w:pStyle w:val="a8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proofErr w:type="gramStart"/>
      <w:r w:rsidRPr="003E7150">
        <w:rPr>
          <w:rFonts w:ascii="Times New Roman" w:eastAsia="Batang" w:hAnsi="Times New Roman"/>
          <w:sz w:val="24"/>
          <w:szCs w:val="24"/>
          <w:lang w:eastAsia="ko-KR"/>
        </w:rPr>
        <w:t>Реализация мероприятий по привлечению долгосрочных частных инвестиций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 в жилищно-коммунальный комплекс позволит снизить нагрузку на бюджет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Ханты-Мансийского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 автономного округа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– Югры 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и </w:t>
      </w:r>
      <w:r>
        <w:rPr>
          <w:rFonts w:ascii="Times New Roman" w:eastAsia="Batang" w:hAnsi="Times New Roman"/>
          <w:sz w:val="24"/>
          <w:szCs w:val="24"/>
          <w:lang w:eastAsia="ko-KR"/>
        </w:rPr>
        <w:t>местный бюджет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 по реконструкции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и модернизации коммунальных систем и жилищного фонда и достижению показателей эффективности, утвержденных приказом департамента жилищно-коммунального комплекса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и энергетики Ханты-Мансийского автономного округа – Югры от 25.05.2018 № 33-Пр-98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</w:t>
      </w:r>
      <w:r w:rsidRPr="003E7150">
        <w:rPr>
          <w:rFonts w:ascii="Times New Roman" w:eastAsia="Batang" w:hAnsi="Times New Roman"/>
          <w:sz w:val="24"/>
          <w:szCs w:val="24"/>
          <w:lang w:eastAsia="ko-KR"/>
        </w:rPr>
        <w:t>«Об утверждении графика разработки инвестиционных программ и перечня показателей эффективности мер</w:t>
      </w:r>
      <w:proofErr w:type="gramEnd"/>
      <w:r w:rsidRPr="003E7150">
        <w:rPr>
          <w:rFonts w:ascii="Times New Roman" w:eastAsia="Batang" w:hAnsi="Times New Roman"/>
          <w:sz w:val="24"/>
          <w:szCs w:val="24"/>
          <w:lang w:eastAsia="ko-KR"/>
        </w:rPr>
        <w:t xml:space="preserve"> по привлечению частных инвестиций в жилищно-коммунальный комплекс» (приложение 2).</w:t>
      </w:r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3E7150">
        <w:rPr>
          <w:sz w:val="24"/>
          <w:szCs w:val="24"/>
          <w:lang w:eastAsia="ru-RU"/>
        </w:rPr>
        <w:t>В условиях глобализации требований к администрированию и постоянного роста ожиданий потребителей жилищно-коммунальных услуг мероприятия муниципальной программы построены на применении принципов бережливого производства: повышение удовлетворенности потребителей качеством предоставляемых жилищно-коммунальных услуг, конкурентоспособность отраслевых организаций, применение эффективной гибкой поддержки бизнеса в минимальные сроки.</w:t>
      </w:r>
      <w:proofErr w:type="gramEnd"/>
    </w:p>
    <w:p w:rsidR="005F6CCF" w:rsidRPr="003E7150" w:rsidRDefault="005F6CCF" w:rsidP="005F6CC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В целях применения технологий бережливого производства предусмотрены организация и проведение семинаров и курсов для сотрудников </w:t>
      </w:r>
      <w:r>
        <w:rPr>
          <w:sz w:val="24"/>
          <w:szCs w:val="24"/>
          <w:lang w:eastAsia="ru-RU"/>
        </w:rPr>
        <w:t>Д</w:t>
      </w:r>
      <w:r w:rsidRPr="003E7150">
        <w:rPr>
          <w:sz w:val="24"/>
          <w:szCs w:val="24"/>
          <w:lang w:eastAsia="ru-RU"/>
        </w:rPr>
        <w:t xml:space="preserve">епартамента </w:t>
      </w:r>
      <w:r>
        <w:rPr>
          <w:sz w:val="24"/>
          <w:szCs w:val="24"/>
          <w:lang w:eastAsia="ru-RU"/>
        </w:rPr>
        <w:t xml:space="preserve">жилищно-коммунального           и строительного комплекса администрации города Югорска </w:t>
      </w:r>
      <w:r w:rsidRPr="003E7150">
        <w:rPr>
          <w:sz w:val="24"/>
          <w:szCs w:val="24"/>
          <w:lang w:eastAsia="ru-RU"/>
        </w:rPr>
        <w:t xml:space="preserve">и организаций </w:t>
      </w:r>
      <w:r>
        <w:rPr>
          <w:sz w:val="24"/>
          <w:szCs w:val="24"/>
          <w:lang w:eastAsia="ru-RU"/>
        </w:rPr>
        <w:t xml:space="preserve">                               </w:t>
      </w:r>
      <w:r w:rsidRPr="003E7150">
        <w:rPr>
          <w:sz w:val="24"/>
          <w:szCs w:val="24"/>
          <w:lang w:eastAsia="ru-RU"/>
        </w:rPr>
        <w:t xml:space="preserve">жилищно-коммунального комплекса по обучению методам и инструментам бережливого </w:t>
      </w:r>
      <w:r w:rsidRPr="003E7150">
        <w:rPr>
          <w:sz w:val="24"/>
          <w:szCs w:val="24"/>
          <w:lang w:eastAsia="ru-RU"/>
        </w:rPr>
        <w:lastRenderedPageBreak/>
        <w:t xml:space="preserve">производства в жилищно-коммунальном и электроэнергетическом комплексе согласно утвержденным программам в области энергосбережения. Организациями </w:t>
      </w:r>
      <w:r>
        <w:rPr>
          <w:sz w:val="24"/>
          <w:szCs w:val="24"/>
          <w:lang w:eastAsia="ru-RU"/>
        </w:rPr>
        <w:t xml:space="preserve">                              </w:t>
      </w:r>
      <w:r w:rsidRPr="003E7150">
        <w:rPr>
          <w:sz w:val="24"/>
          <w:szCs w:val="24"/>
          <w:lang w:eastAsia="ru-RU"/>
        </w:rPr>
        <w:t xml:space="preserve">жилищно-коммунального комплекса и электроэнергетики рекомендуется реализовывать следующие мероприятия, направленные на сокращение энергетических ресурсов </w:t>
      </w:r>
      <w:r>
        <w:rPr>
          <w:sz w:val="24"/>
          <w:szCs w:val="24"/>
          <w:lang w:eastAsia="ru-RU"/>
        </w:rPr>
        <w:t xml:space="preserve">                               </w:t>
      </w:r>
      <w:r w:rsidRPr="003E7150">
        <w:rPr>
          <w:sz w:val="24"/>
          <w:szCs w:val="24"/>
          <w:lang w:eastAsia="ru-RU"/>
        </w:rPr>
        <w:t>и оптимизацию производственных процессов:</w:t>
      </w:r>
    </w:p>
    <w:p w:rsidR="005F6CCF" w:rsidRPr="003E7150" w:rsidRDefault="005F6CCF" w:rsidP="005F6CC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3E7150">
        <w:rPr>
          <w:sz w:val="24"/>
          <w:szCs w:val="24"/>
          <w:lang w:eastAsia="ru-RU"/>
        </w:rPr>
        <w:t xml:space="preserve">модернизация оборудования, используемого для выработки и передачи электрической и тепловой энергии, в том числе замене оборудования на оборудование с более высоким коэффициентом полезного действия, внедрение инновационных решений </w:t>
      </w:r>
      <w:r>
        <w:rPr>
          <w:sz w:val="24"/>
          <w:szCs w:val="24"/>
          <w:lang w:eastAsia="ru-RU"/>
        </w:rPr>
        <w:t xml:space="preserve">                         </w:t>
      </w:r>
      <w:r w:rsidRPr="003E7150">
        <w:rPr>
          <w:sz w:val="24"/>
          <w:szCs w:val="24"/>
          <w:lang w:eastAsia="ru-RU"/>
        </w:rPr>
        <w:t>и технологий; модернизаци</w:t>
      </w:r>
      <w:r>
        <w:rPr>
          <w:sz w:val="24"/>
          <w:szCs w:val="24"/>
          <w:lang w:eastAsia="ru-RU"/>
        </w:rPr>
        <w:t>я</w:t>
      </w:r>
      <w:r w:rsidRPr="003E7150">
        <w:rPr>
          <w:sz w:val="24"/>
          <w:szCs w:val="24"/>
          <w:lang w:eastAsia="ru-RU"/>
        </w:rPr>
        <w:t xml:space="preserve"> центральны</w:t>
      </w:r>
      <w:r>
        <w:rPr>
          <w:sz w:val="24"/>
          <w:szCs w:val="24"/>
          <w:lang w:eastAsia="ru-RU"/>
        </w:rPr>
        <w:t>х тепловых пунктов, модернизация</w:t>
      </w:r>
      <w:r w:rsidRPr="003E7150">
        <w:rPr>
          <w:sz w:val="24"/>
          <w:szCs w:val="24"/>
          <w:lang w:eastAsia="ru-RU"/>
        </w:rPr>
        <w:t xml:space="preserve"> и реконструкц</w:t>
      </w:r>
      <w:r>
        <w:rPr>
          <w:sz w:val="24"/>
          <w:szCs w:val="24"/>
          <w:lang w:eastAsia="ru-RU"/>
        </w:rPr>
        <w:t>ия</w:t>
      </w:r>
      <w:r w:rsidRPr="003E7150">
        <w:rPr>
          <w:sz w:val="24"/>
          <w:szCs w:val="24"/>
          <w:lang w:eastAsia="ru-RU"/>
        </w:rPr>
        <w:t xml:space="preserve"> сетей водоснабжения, систем водоподготовки, насосных и канализационных станций, сетей газоснабжения и электроснабжения в бюджетной сфере;</w:t>
      </w:r>
      <w:proofErr w:type="gramEnd"/>
    </w:p>
    <w:p w:rsidR="005F6CCF" w:rsidRPr="003E7150" w:rsidRDefault="005F6CCF" w:rsidP="005F6CC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 xml:space="preserve">повышение </w:t>
      </w:r>
      <w:proofErr w:type="spellStart"/>
      <w:r w:rsidRPr="003E7150">
        <w:rPr>
          <w:sz w:val="24"/>
          <w:szCs w:val="24"/>
          <w:lang w:eastAsia="ru-RU"/>
        </w:rPr>
        <w:t>энергоэффективности</w:t>
      </w:r>
      <w:proofErr w:type="spellEnd"/>
      <w:r w:rsidRPr="003E7150">
        <w:rPr>
          <w:sz w:val="24"/>
          <w:szCs w:val="24"/>
          <w:lang w:eastAsia="ru-RU"/>
        </w:rPr>
        <w:t xml:space="preserve"> систем освещения (замена ламп накаливания на энергосберегающие, установка автоматизированных систем управления освещением);</w:t>
      </w:r>
    </w:p>
    <w:p w:rsidR="005F6CCF" w:rsidRPr="003E7150" w:rsidRDefault="005F6CCF" w:rsidP="005F6CC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установка приборов учета используемых энергетических ресурсов;</w:t>
      </w:r>
    </w:p>
    <w:p w:rsidR="005F6CCF" w:rsidRPr="003E7150" w:rsidRDefault="005F6CCF" w:rsidP="005F6CC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3E7150">
        <w:rPr>
          <w:sz w:val="24"/>
          <w:szCs w:val="24"/>
          <w:lang w:eastAsia="ru-RU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блоков).</w:t>
      </w:r>
    </w:p>
    <w:p w:rsidR="005F6CCF" w:rsidRPr="003E7150" w:rsidRDefault="005F6CCF" w:rsidP="005F6CC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266654642"/>
      <w:r w:rsidRPr="003E7150">
        <w:rPr>
          <w:rFonts w:ascii="Times New Roman" w:hAnsi="Times New Roman"/>
          <w:sz w:val="24"/>
          <w:szCs w:val="24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bookmarkEnd w:id="1"/>
    <w:p w:rsidR="005F6CCF" w:rsidRDefault="005F6CCF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sz w:val="24"/>
          <w:szCs w:val="24"/>
        </w:rPr>
        <w:sectPr w:rsidR="0055586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55867" w:rsidRPr="00555867" w:rsidRDefault="00555867" w:rsidP="00555867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 w:rsidRPr="00555867">
        <w:rPr>
          <w:b/>
          <w:bCs/>
          <w:sz w:val="24"/>
          <w:szCs w:val="24"/>
          <w:lang w:eastAsia="ru-RU"/>
        </w:rPr>
        <w:lastRenderedPageBreak/>
        <w:t>Таблица 1</w:t>
      </w:r>
    </w:p>
    <w:p w:rsidR="00555867" w:rsidRPr="00555867" w:rsidRDefault="00555867" w:rsidP="0055586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555867" w:rsidRPr="00555867" w:rsidRDefault="00555867" w:rsidP="00555867">
      <w:pPr>
        <w:widowControl w:val="0"/>
        <w:suppressAutoHyphens w:val="0"/>
        <w:autoSpaceDE w:val="0"/>
        <w:autoSpaceDN w:val="0"/>
        <w:adjustRightInd w:val="0"/>
        <w:ind w:left="360"/>
        <w:jc w:val="center"/>
        <w:outlineLvl w:val="0"/>
        <w:rPr>
          <w:b/>
          <w:bCs/>
          <w:sz w:val="24"/>
          <w:szCs w:val="24"/>
          <w:lang w:eastAsia="ru-RU"/>
        </w:rPr>
      </w:pPr>
      <w:r w:rsidRPr="00555867"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tbl>
      <w:tblPr>
        <w:tblW w:w="49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4178"/>
        <w:gridCol w:w="830"/>
        <w:gridCol w:w="1588"/>
        <w:gridCol w:w="868"/>
        <w:gridCol w:w="843"/>
        <w:gridCol w:w="843"/>
        <w:gridCol w:w="843"/>
        <w:gridCol w:w="843"/>
        <w:gridCol w:w="843"/>
        <w:gridCol w:w="843"/>
        <w:gridCol w:w="883"/>
        <w:gridCol w:w="1560"/>
      </w:tblGrid>
      <w:tr w:rsidR="00555867" w:rsidRPr="004B55A1" w:rsidTr="00555867">
        <w:trPr>
          <w:trHeight w:val="727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показателя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целевых показателей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55867" w:rsidRPr="004B55A1" w:rsidTr="00555867">
        <w:trPr>
          <w:trHeight w:val="709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4B55A1" w:rsidRDefault="00555867" w:rsidP="007E51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4B55A1" w:rsidRDefault="00555867" w:rsidP="007E51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4B55A1" w:rsidRDefault="00555867" w:rsidP="007E51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4B55A1" w:rsidRDefault="00555867" w:rsidP="007E51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b/>
                <w:bCs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4B55A1" w:rsidRDefault="00555867" w:rsidP="007E51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5867" w:rsidRPr="004B55A1" w:rsidTr="00555867">
        <w:trPr>
          <w:trHeight w:val="10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Доля замены ветхих инженерных сетей тепло-, водоснабжения, водоотведения от общей протяженности ветхих инженерных сетей тепло-, водоснабжения, водоотведения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4,17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6,17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12,17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16,17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26,17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26,17</w:t>
            </w:r>
          </w:p>
        </w:tc>
      </w:tr>
      <w:tr w:rsidR="00555867" w:rsidRPr="004B55A1" w:rsidTr="00555867">
        <w:trPr>
          <w:trHeight w:val="56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Площадь земельных участков, обеспеченных инженерными сетями водоотведения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758,34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834,73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834,73</w:t>
            </w:r>
          </w:p>
        </w:tc>
      </w:tr>
      <w:tr w:rsidR="00555867" w:rsidRPr="004B55A1" w:rsidTr="00555867">
        <w:trPr>
          <w:trHeight w:val="57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Площадь земельных участков, обеспеченных инженерными сетями газоснабжения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1071,96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1127,47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1127,47</w:t>
            </w:r>
          </w:p>
        </w:tc>
      </w:tr>
      <w:tr w:rsidR="00555867" w:rsidRPr="004B55A1" w:rsidTr="00555867">
        <w:trPr>
          <w:trHeight w:val="976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Количество выполненных мероприятий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по консалтинговому обследованию, разработке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и (или) актуализации программ, схем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>и нормативных документов в сфере ЖКК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≥1</w:t>
            </w:r>
          </w:p>
        </w:tc>
      </w:tr>
      <w:tr w:rsidR="00555867" w:rsidRPr="004B55A1" w:rsidTr="00555867">
        <w:trPr>
          <w:trHeight w:val="1401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 в транспортном комплексе, жилищном фонде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>и муниципальной сфере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55867" w:rsidRPr="004B55A1" w:rsidTr="00555867">
        <w:trPr>
          <w:trHeight w:val="273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3 818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3 490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3 440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3 390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3 340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3 290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3 240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3 190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3 140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3 140</w:t>
            </w:r>
          </w:p>
        </w:tc>
      </w:tr>
      <w:tr w:rsidR="00555867" w:rsidRPr="004B55A1" w:rsidTr="00555867">
        <w:trPr>
          <w:trHeight w:val="127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Доля многоквартирных домов, в которых проведен капитальный ремонт в соответствии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с краткосрочными планами реализации программы капитального ремонта общего имущества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>в многоквартирных домах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555867" w:rsidRPr="004B55A1" w:rsidTr="00555867">
        <w:trPr>
          <w:trHeight w:val="834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Количество квартир, находящихся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 в муниципальной собственности, в которых проведен ремонт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</w:tr>
      <w:tr w:rsidR="00555867" w:rsidRPr="004B55A1" w:rsidTr="00555867">
        <w:trPr>
          <w:trHeight w:val="97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Доля площади общего имущества в жилых домах, использовавшихся до 01.01.2012 в качестве общежитий, приведенной в технически исправное состояние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44,5</w:t>
            </w:r>
          </w:p>
        </w:tc>
      </w:tr>
      <w:tr w:rsidR="00555867" w:rsidRPr="004B55A1" w:rsidTr="00555867">
        <w:trPr>
          <w:trHeight w:val="991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4B55A1">
              <w:rPr>
                <w:color w:val="000000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4B55A1">
              <w:rPr>
                <w:color w:val="000000"/>
                <w:sz w:val="18"/>
                <w:szCs w:val="18"/>
                <w:lang w:eastAsia="ru-RU"/>
              </w:rPr>
              <w:t xml:space="preserve"> жилищного фонда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4B55A1" w:rsidRDefault="00555867" w:rsidP="007E51D1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55A1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Pr="00555867" w:rsidRDefault="00555867" w:rsidP="00555867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 w:rsidRPr="00555867">
        <w:rPr>
          <w:b/>
          <w:sz w:val="24"/>
          <w:szCs w:val="24"/>
          <w:lang w:eastAsia="ru-RU"/>
        </w:rPr>
        <w:lastRenderedPageBreak/>
        <w:t>Таблица 2</w:t>
      </w:r>
    </w:p>
    <w:p w:rsidR="00555867" w:rsidRPr="00555867" w:rsidRDefault="00555867" w:rsidP="0055586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555867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55867" w:rsidRPr="00555867" w:rsidRDefault="00555867" w:rsidP="00555867">
      <w:pPr>
        <w:widowControl w:val="0"/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997"/>
        <w:gridCol w:w="2436"/>
        <w:gridCol w:w="2142"/>
        <w:gridCol w:w="1564"/>
        <w:gridCol w:w="961"/>
        <w:gridCol w:w="883"/>
        <w:gridCol w:w="883"/>
        <w:gridCol w:w="871"/>
        <w:gridCol w:w="872"/>
        <w:gridCol w:w="872"/>
        <w:gridCol w:w="872"/>
        <w:gridCol w:w="872"/>
        <w:gridCol w:w="862"/>
      </w:tblGrid>
      <w:tr w:rsidR="00555867" w:rsidRPr="0001737C" w:rsidTr="00555867">
        <w:trPr>
          <w:trHeight w:val="279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Номер строки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Основные мероприятия муниципальной программы</w:t>
            </w:r>
          </w:p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Ответственный исполнитель/</w:t>
            </w:r>
          </w:p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1737C">
              <w:rPr>
                <w:b/>
                <w:bCs/>
                <w:sz w:val="16"/>
                <w:szCs w:val="16"/>
              </w:rPr>
              <w:t>соисполнитель (наименование органа</w:t>
            </w:r>
            <w:proofErr w:type="gramEnd"/>
          </w:p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 xml:space="preserve"> или структурного подразделения, учреждения)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555867" w:rsidRPr="0001737C" w:rsidTr="00555867">
        <w:trPr>
          <w:trHeight w:val="271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2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 том числе</w:t>
            </w:r>
          </w:p>
        </w:tc>
      </w:tr>
      <w:tr w:rsidR="00555867" w:rsidRPr="0001737C" w:rsidTr="00555867">
        <w:trPr>
          <w:trHeight w:val="398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2026-2030 годы</w:t>
            </w:r>
          </w:p>
        </w:tc>
      </w:tr>
      <w:tr w:rsidR="00555867" w:rsidRPr="0001737C" w:rsidTr="00555867">
        <w:trPr>
          <w:trHeight w:val="274"/>
          <w:tblHeader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13</w:t>
            </w:r>
          </w:p>
        </w:tc>
      </w:tr>
      <w:tr w:rsidR="00555867" w:rsidRPr="0001737C" w:rsidTr="00555867">
        <w:trPr>
          <w:trHeight w:hRule="exact" w:val="3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Реконструкция, расширение, модернизация, строительство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и капитальный ремонт объектов коммунального комплекса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(в том числе в рамках концессионных соглашений) (1)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жилищно-коммунального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721 076,40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125 200,00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55 186,40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54 069,00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54 069,00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54 069,00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54 069,00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54 069,00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270 345,00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618 992,20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112 497,80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46 908,40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45 958,60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45 958,60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45 958,60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45 958,60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45 958,60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229 793,00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102 084,20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12 702,20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8 278,00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8 110,40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8 110,40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8 110,40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8 110,40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8 110,40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40 552,00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жилищно-коммунального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и строительного комплекса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112 897,40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80 930,00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31 967,40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83 975,50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23 975,50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28 921,90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20 930,00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7 991,90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11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Выполнение мероприятий </w:t>
            </w:r>
          </w:p>
          <w:p w:rsidR="00555867" w:rsidRDefault="00555867" w:rsidP="00555867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по консалтинговому обследованию, разработке</w:t>
            </w:r>
          </w:p>
          <w:p w:rsidR="00555867" w:rsidRDefault="00555867" w:rsidP="00555867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(или) актуализации программ, схем и нормативных документов</w:t>
            </w:r>
          </w:p>
          <w:p w:rsidR="00555867" w:rsidRPr="0001737C" w:rsidRDefault="00555867" w:rsidP="00555867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в сфере жилищно-коммунального комплекса (4)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жилищно-коммунального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и строительного комплекса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12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13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14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238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16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Поддержка инвестиционных проектов в сфере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жилищно-коммунального комплекса, в том числе энергосберегающих проектов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в транспортном комплексе, жилищном фонде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муниципальной сфере (5)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жилищно-коммунального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17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18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19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Предоставление субсидий организациям коммунального комплекса (6)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жилищно-коммунального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16 848,10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1 333,10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1 373,00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1 414,20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7 071,00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22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23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16 848,10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1 333,10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1 373,00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1 414,20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1 414,20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7 071,00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24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25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26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555867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Организационно-техническое</w:t>
            </w:r>
          </w:p>
          <w:p w:rsidR="00555867" w:rsidRDefault="00555867" w:rsidP="00555867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финансовое обеспечение деятельности департамента жилищно-коммунального</w:t>
            </w:r>
          </w:p>
          <w:p w:rsidR="00555867" w:rsidRPr="0001737C" w:rsidRDefault="00555867" w:rsidP="00555867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и строительного комплекса администрации города Югорска (1-10)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Управление бухгалтерского учета и отчетности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432 031,20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180 013,00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27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28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31,20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13,00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29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432 000,00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180 000,00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31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жилищно-коммунального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177,00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177,00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6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32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33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34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177,00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177,00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35</w:t>
            </w: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36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Муниципальная поддержка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на проведение капитального ремонта многоквартирных домов (7)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жилищно-коммунального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25 880,40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3 880,40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32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493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33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34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25 880,40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3 880,40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2 000,00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10 000,00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35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Ремонт муниципального жилищного фонда (8)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жилищно-коммунального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8 700,00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37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38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39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8 700,00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41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Приведение в технически исправное состояние жилых домов, использовавшихся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до 01.01.2012 в качестве общежитий (9)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Департамент 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жилищно-коммунального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3 650,00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42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43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44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3 650,00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350,00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45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46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10</w:t>
            </w:r>
          </w:p>
        </w:tc>
        <w:tc>
          <w:tcPr>
            <w:tcW w:w="7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Привлечение населения 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к самостоятельному решению вопросов содержания, благоустройства и повышения </w:t>
            </w:r>
            <w:proofErr w:type="spellStart"/>
            <w:r w:rsidRPr="0001737C">
              <w:rPr>
                <w:sz w:val="16"/>
                <w:szCs w:val="16"/>
              </w:rPr>
              <w:t>энергоэффективности</w:t>
            </w:r>
            <w:proofErr w:type="spellEnd"/>
            <w:r w:rsidRPr="0001737C">
              <w:rPr>
                <w:sz w:val="16"/>
                <w:szCs w:val="16"/>
              </w:rPr>
              <w:t xml:space="preserve"> жилищного фонда (10)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Департамент</w:t>
            </w:r>
          </w:p>
          <w:p w:rsidR="00555867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жилищно-коммунального</w:t>
            </w:r>
          </w:p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 xml:space="preserve"> и строительного комплекса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1 955,00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750,00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47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48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49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1 955,00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305,00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150,00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750,00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50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7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51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1 344 215,50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249 678,10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128 179,40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483 179,00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52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53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719 847,00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173 833,50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72 259,50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236 877,00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54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609 368,50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75 844,60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55 919,90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238 802,00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55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56</w:t>
            </w:r>
          </w:p>
        </w:tc>
        <w:tc>
          <w:tcPr>
            <w:tcW w:w="48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lastRenderedPageBreak/>
              <w:t>57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180 475,40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148 508,00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31 967,40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58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59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148 174,60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124 199,10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23 975,50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60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32 300,80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24 308,90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7 991,90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61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62</w:t>
            </w:r>
          </w:p>
        </w:tc>
        <w:tc>
          <w:tcPr>
            <w:tcW w:w="48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63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 xml:space="preserve">Проекты, портфели проектов </w:t>
            </w:r>
          </w:p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1737C">
              <w:rPr>
                <w:b/>
                <w:bCs/>
                <w:sz w:val="16"/>
                <w:szCs w:val="16"/>
              </w:rPr>
              <w:t xml:space="preserve">(в том числе направленные на реализацию национальных и федеральных проектов Российской Федерации и ХМАО-Югры, муниципальных проектов реализуемых </w:t>
            </w:r>
            <w:proofErr w:type="gramEnd"/>
          </w:p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 составе муниципальной программы):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67 578,00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67 578,00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64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65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64 199,10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64 199,10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66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3 378,90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3 378,90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67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68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 том числе инвестиции в объекты муниципальной собственности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67 578,00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67 578,00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69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70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64 199,10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64 199,10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71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3 378,90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3 378,90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72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73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1737C">
              <w:rPr>
                <w:b/>
                <w:bCs/>
                <w:sz w:val="16"/>
                <w:szCs w:val="16"/>
              </w:rPr>
              <w:t xml:space="preserve">Инвестиции в объекты муниципальной собственности (за исключением инвестиций </w:t>
            </w:r>
            <w:proofErr w:type="gramEnd"/>
          </w:p>
          <w:p w:rsidR="00555867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 xml:space="preserve">в объекты муниципальной собственности </w:t>
            </w:r>
          </w:p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по проектам, портфелям проектов)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112 897,40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80 930,00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31 967,40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74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75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83 975,50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23 975,50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76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28 921,90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20 930,00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7 991,90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77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1 163 740,10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101 170,10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96 212,00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96 635,80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483 179,00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79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80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571 672,40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49 634,40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48 284,00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47 375,40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236 877,00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81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577 067,70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51 535,70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47 928,00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47 760,40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238 802,00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82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83</w:t>
            </w:r>
          </w:p>
        </w:tc>
        <w:tc>
          <w:tcPr>
            <w:tcW w:w="483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84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Ответственный исполнитель 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912 184,30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213 675,50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92 176,80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60 633,20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60 633,20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60 633,20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60 633,20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60 633,20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303 166,00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85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86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719 815,80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173 830,90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72 256,90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47 372,80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47 372,80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236 864,00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87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177 368,50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39 844,60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19 919,90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11 760,40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11 760,40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58 802,00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88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7 500,00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89</w:t>
            </w:r>
          </w:p>
        </w:tc>
        <w:tc>
          <w:tcPr>
            <w:tcW w:w="1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432 031,20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36 002,60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180 013,00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90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91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31,20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13,00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92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432 000,00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180 000,00</w:t>
            </w:r>
          </w:p>
        </w:tc>
      </w:tr>
      <w:tr w:rsidR="00555867" w:rsidRPr="0001737C" w:rsidTr="00555867">
        <w:trPr>
          <w:trHeight w:hRule="exact" w:val="39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867" w:rsidRPr="0001737C" w:rsidRDefault="00555867" w:rsidP="007E51D1">
            <w:pPr>
              <w:jc w:val="center"/>
              <w:rPr>
                <w:sz w:val="16"/>
                <w:szCs w:val="16"/>
              </w:rPr>
            </w:pPr>
            <w:r w:rsidRPr="0001737C">
              <w:rPr>
                <w:sz w:val="16"/>
                <w:szCs w:val="16"/>
              </w:rPr>
              <w:t>93</w:t>
            </w:r>
          </w:p>
        </w:tc>
        <w:tc>
          <w:tcPr>
            <w:tcW w:w="109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01737C" w:rsidRDefault="00555867" w:rsidP="007E51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5867" w:rsidRPr="0001737C" w:rsidRDefault="00555867" w:rsidP="007E51D1">
            <w:pPr>
              <w:jc w:val="center"/>
              <w:rPr>
                <w:b/>
                <w:bCs/>
                <w:sz w:val="16"/>
                <w:szCs w:val="16"/>
              </w:rPr>
            </w:pPr>
            <w:r w:rsidRPr="0001737C">
              <w:rPr>
                <w:b/>
                <w:bCs/>
                <w:sz w:val="16"/>
                <w:szCs w:val="16"/>
              </w:rPr>
              <w:t>0,00</w:t>
            </w:r>
          </w:p>
        </w:tc>
      </w:tr>
    </w:tbl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55867" w:rsidRPr="00555867" w:rsidRDefault="00555867" w:rsidP="00555867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555867">
        <w:rPr>
          <w:b/>
          <w:bCs/>
          <w:sz w:val="24"/>
          <w:szCs w:val="24"/>
          <w:lang w:eastAsia="ru-RU"/>
        </w:rPr>
        <w:lastRenderedPageBreak/>
        <w:t>Таблица 3</w:t>
      </w:r>
    </w:p>
    <w:p w:rsidR="00555867" w:rsidRPr="00555867" w:rsidRDefault="00555867" w:rsidP="00555867">
      <w:pPr>
        <w:suppressAutoHyphens w:val="0"/>
        <w:jc w:val="right"/>
        <w:rPr>
          <w:b/>
          <w:bCs/>
          <w:sz w:val="24"/>
          <w:szCs w:val="24"/>
          <w:lang w:eastAsia="ru-RU"/>
        </w:rPr>
      </w:pPr>
    </w:p>
    <w:p w:rsidR="00555867" w:rsidRDefault="00555867" w:rsidP="0055586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555867">
        <w:rPr>
          <w:b/>
          <w:bCs/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555867">
        <w:rPr>
          <w:b/>
          <w:bCs/>
          <w:sz w:val="24"/>
          <w:szCs w:val="24"/>
          <w:lang w:eastAsia="ru-RU"/>
        </w:rPr>
        <w:t>направленные</w:t>
      </w:r>
      <w:proofErr w:type="gramEnd"/>
      <w:r w:rsidRPr="00555867">
        <w:rPr>
          <w:b/>
          <w:bCs/>
          <w:sz w:val="24"/>
          <w:szCs w:val="24"/>
          <w:lang w:eastAsia="ru-RU"/>
        </w:rPr>
        <w:t xml:space="preserve"> в том числе на реализацию национальных и федеральных проектов Российской Федерации </w:t>
      </w:r>
    </w:p>
    <w:p w:rsidR="00555867" w:rsidRPr="00555867" w:rsidRDefault="00555867" w:rsidP="00555867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555867">
        <w:rPr>
          <w:b/>
          <w:bCs/>
          <w:sz w:val="24"/>
          <w:szCs w:val="24"/>
          <w:lang w:eastAsia="ru-RU"/>
        </w:rPr>
        <w:t>и Ханты-Мансийского автономного округа – Югры, муниципальных проектов</w:t>
      </w:r>
    </w:p>
    <w:p w:rsidR="00555867" w:rsidRDefault="00555867" w:rsidP="00555867">
      <w:pPr>
        <w:jc w:val="both"/>
        <w:rPr>
          <w:b/>
          <w:sz w:val="24"/>
          <w:szCs w:val="24"/>
        </w:rPr>
      </w:pPr>
    </w:p>
    <w:tbl>
      <w:tblPr>
        <w:tblW w:w="4950" w:type="pct"/>
        <w:tblInd w:w="108" w:type="dxa"/>
        <w:tblLook w:val="04A0" w:firstRow="1" w:lastRow="0" w:firstColumn="1" w:lastColumn="0" w:noHBand="0" w:noVBand="1"/>
      </w:tblPr>
      <w:tblGrid>
        <w:gridCol w:w="492"/>
        <w:gridCol w:w="1528"/>
        <w:gridCol w:w="2946"/>
        <w:gridCol w:w="1333"/>
        <w:gridCol w:w="714"/>
        <w:gridCol w:w="1202"/>
        <w:gridCol w:w="1724"/>
        <w:gridCol w:w="1023"/>
        <w:gridCol w:w="1023"/>
        <w:gridCol w:w="732"/>
        <w:gridCol w:w="732"/>
        <w:gridCol w:w="732"/>
        <w:gridCol w:w="732"/>
        <w:gridCol w:w="735"/>
      </w:tblGrid>
      <w:tr w:rsidR="00555867" w:rsidRPr="003E7150" w:rsidTr="00555867">
        <w:trPr>
          <w:trHeight w:val="51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 xml:space="preserve">№ </w:t>
            </w:r>
            <w:proofErr w:type="gramStart"/>
            <w:r w:rsidRPr="003E7150">
              <w:rPr>
                <w:color w:val="000000"/>
                <w:szCs w:val="18"/>
                <w:lang w:eastAsia="ru-RU"/>
              </w:rPr>
              <w:t>п</w:t>
            </w:r>
            <w:proofErr w:type="gramEnd"/>
            <w:r w:rsidRPr="003E7150">
              <w:rPr>
                <w:color w:val="000000"/>
                <w:szCs w:val="18"/>
                <w:lang w:eastAsia="ru-RU"/>
              </w:rPr>
              <w:t>/п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Цели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Срок реализации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82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Параметры финансового  обеспечения, тыс. руб.</w:t>
            </w:r>
            <w:r>
              <w:rPr>
                <w:color w:val="000000"/>
                <w:szCs w:val="18"/>
                <w:lang w:eastAsia="ru-RU"/>
              </w:rPr>
              <w:t>*</w:t>
            </w:r>
          </w:p>
        </w:tc>
      </w:tr>
      <w:tr w:rsidR="00555867" w:rsidRPr="003E7150" w:rsidTr="00555867">
        <w:trPr>
          <w:trHeight w:val="555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2020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2021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2022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2023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2024</w:t>
            </w:r>
          </w:p>
        </w:tc>
      </w:tr>
      <w:tr w:rsidR="00555867" w:rsidRPr="003E7150" w:rsidTr="00555867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2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14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Федерации, Ханты-Мансийского автономного округа – Югры, муниципальных проектов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Портфель проектов «Экология»</w:t>
            </w:r>
          </w:p>
        </w:tc>
        <w:tc>
          <w:tcPr>
            <w:tcW w:w="9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Мероприятие «Реконструкция, расширение, модернизация, строительство коммунальных объектов, в том числе объектов питьевого водоснабжения в населенных пунктах автономного округа» (показатель 1)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1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31.12.2024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67 578,00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67 578,00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64 199,10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64 199,10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3 378,90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3 378,90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26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Итого по портфелю проектов «Экология»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67 578,00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67 578,00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26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26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64 199,10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64 199,10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26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местный бюджет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3 378,90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3 378,90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  <w:tr w:rsidR="00555867" w:rsidRPr="003E7150" w:rsidTr="00555867">
        <w:trPr>
          <w:trHeight w:hRule="exact" w:val="510"/>
        </w:trPr>
        <w:tc>
          <w:tcPr>
            <w:tcW w:w="26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b/>
                <w:bCs/>
                <w:color w:val="000000"/>
                <w:szCs w:val="18"/>
                <w:lang w:eastAsia="ru-RU"/>
              </w:rPr>
            </w:pPr>
            <w:r w:rsidRPr="003E7150">
              <w:rPr>
                <w:b/>
                <w:bCs/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867" w:rsidRPr="003E7150" w:rsidRDefault="00555867" w:rsidP="007E51D1">
            <w:pPr>
              <w:suppressAutoHyphens w:val="0"/>
              <w:jc w:val="center"/>
              <w:rPr>
                <w:color w:val="000000"/>
                <w:szCs w:val="18"/>
                <w:lang w:eastAsia="ru-RU"/>
              </w:rPr>
            </w:pPr>
            <w:r w:rsidRPr="003E7150">
              <w:rPr>
                <w:color w:val="000000"/>
                <w:szCs w:val="18"/>
                <w:lang w:eastAsia="ru-RU"/>
              </w:rPr>
              <w:t>0,00</w:t>
            </w:r>
          </w:p>
        </w:tc>
      </w:tr>
    </w:tbl>
    <w:p w:rsidR="00555867" w:rsidRDefault="00555867" w:rsidP="005F6CCF">
      <w:pPr>
        <w:ind w:firstLine="709"/>
        <w:jc w:val="both"/>
        <w:rPr>
          <w:b/>
          <w:sz w:val="24"/>
          <w:szCs w:val="24"/>
        </w:rPr>
      </w:pPr>
    </w:p>
    <w:p w:rsidR="00526139" w:rsidRDefault="00526139" w:rsidP="005F6CCF">
      <w:pPr>
        <w:ind w:firstLine="709"/>
        <w:jc w:val="both"/>
        <w:rPr>
          <w:bCs/>
          <w:sz w:val="24"/>
          <w:szCs w:val="24"/>
          <w:lang w:eastAsia="ru-RU"/>
        </w:rPr>
      </w:pPr>
      <w:r w:rsidRPr="00526139">
        <w:rPr>
          <w:bCs/>
          <w:sz w:val="24"/>
          <w:szCs w:val="24"/>
          <w:lang w:eastAsia="ru-RU"/>
        </w:rPr>
        <w:t>* - параметры финансового обеспечения национального проекта Российской Федерации «Экология» на период 2020-2024 годов не определены</w:t>
      </w:r>
    </w:p>
    <w:p w:rsidR="00526139" w:rsidRDefault="00526139" w:rsidP="005F6CCF">
      <w:pPr>
        <w:ind w:firstLine="709"/>
        <w:jc w:val="both"/>
        <w:rPr>
          <w:bCs/>
          <w:sz w:val="24"/>
          <w:szCs w:val="24"/>
          <w:lang w:eastAsia="ru-RU"/>
        </w:rPr>
      </w:pPr>
    </w:p>
    <w:p w:rsidR="00526139" w:rsidRDefault="00526139" w:rsidP="005F6CCF">
      <w:pPr>
        <w:ind w:firstLine="709"/>
        <w:jc w:val="both"/>
        <w:rPr>
          <w:bCs/>
          <w:sz w:val="24"/>
          <w:szCs w:val="24"/>
          <w:lang w:eastAsia="ru-RU"/>
        </w:rPr>
      </w:pPr>
    </w:p>
    <w:p w:rsidR="00526139" w:rsidRDefault="00526139" w:rsidP="005F6CCF">
      <w:pPr>
        <w:ind w:firstLine="709"/>
        <w:jc w:val="both"/>
        <w:rPr>
          <w:bCs/>
          <w:sz w:val="24"/>
          <w:szCs w:val="24"/>
          <w:lang w:eastAsia="ru-RU"/>
        </w:rPr>
      </w:pPr>
    </w:p>
    <w:p w:rsidR="00526139" w:rsidRPr="00526139" w:rsidRDefault="00526139" w:rsidP="00526139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lastRenderedPageBreak/>
        <w:t>Таблица 4</w:t>
      </w:r>
    </w:p>
    <w:p w:rsidR="00526139" w:rsidRP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526139" w:rsidRP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526139" w:rsidRDefault="00526139" w:rsidP="00526139">
      <w:pPr>
        <w:jc w:val="both"/>
        <w:rPr>
          <w:b/>
          <w:sz w:val="28"/>
          <w:szCs w:val="24"/>
        </w:rPr>
      </w:pPr>
    </w:p>
    <w:tbl>
      <w:tblPr>
        <w:tblW w:w="4933" w:type="pct"/>
        <w:tblInd w:w="108" w:type="dxa"/>
        <w:tblLook w:val="04A0" w:firstRow="1" w:lastRow="0" w:firstColumn="1" w:lastColumn="0" w:noHBand="0" w:noVBand="1"/>
      </w:tblPr>
      <w:tblGrid>
        <w:gridCol w:w="518"/>
        <w:gridCol w:w="2629"/>
        <w:gridCol w:w="4413"/>
        <w:gridCol w:w="4794"/>
        <w:gridCol w:w="3240"/>
      </w:tblGrid>
      <w:tr w:rsidR="00526139" w:rsidRPr="00526139" w:rsidTr="00526139">
        <w:trPr>
          <w:trHeight w:val="294"/>
          <w:tblHeader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39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526139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26139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39">
              <w:rPr>
                <w:b/>
                <w:bCs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39">
              <w:rPr>
                <w:b/>
                <w:bCs/>
                <w:color w:val="000000"/>
                <w:lang w:eastAsia="ru-RU"/>
              </w:rPr>
              <w:t>Наименование целевого показателя</w:t>
            </w:r>
          </w:p>
        </w:tc>
      </w:tr>
      <w:tr w:rsidR="00526139" w:rsidRPr="00526139" w:rsidTr="00526139">
        <w:trPr>
          <w:trHeight w:val="70"/>
          <w:tblHeader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3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39">
              <w:rPr>
                <w:b/>
                <w:bCs/>
                <w:color w:val="000000"/>
                <w:lang w:eastAsia="ru-RU"/>
              </w:rPr>
              <w:t>Содержание (направление расходов)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26139">
              <w:rPr>
                <w:b/>
                <w:bCs/>
                <w:color w:val="00000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526139" w:rsidRPr="00526139" w:rsidTr="00526139">
        <w:trPr>
          <w:trHeight w:val="70"/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26139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26139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26139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26139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526139">
              <w:rPr>
                <w:bCs/>
                <w:color w:val="000000"/>
                <w:lang w:eastAsia="ru-RU"/>
              </w:rPr>
              <w:t>5</w:t>
            </w:r>
          </w:p>
        </w:tc>
      </w:tr>
      <w:tr w:rsidR="00526139" w:rsidRPr="00526139" w:rsidTr="00526139">
        <w:trPr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Цель: Повышение качества и надежности предоставления жилищно-коммунальных услуг населению </w:t>
            </w:r>
          </w:p>
        </w:tc>
      </w:tr>
      <w:tr w:rsidR="00526139" w:rsidRPr="00526139" w:rsidTr="00526139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Задача 1. 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водоотведения, повышение </w:t>
            </w:r>
            <w:proofErr w:type="spellStart"/>
            <w:r w:rsidRPr="00526139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526139">
              <w:rPr>
                <w:color w:val="000000"/>
                <w:lang w:eastAsia="ru-RU"/>
              </w:rPr>
              <w:t xml:space="preserve"> в отраслях экономики</w:t>
            </w:r>
          </w:p>
        </w:tc>
      </w:tr>
      <w:tr w:rsidR="00526139" w:rsidRPr="00526139" w:rsidTr="00526139">
        <w:trPr>
          <w:trHeight w:val="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Реконструкция, расширение, модернизация, строительство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526139">
              <w:rPr>
                <w:color w:val="000000"/>
                <w:lang w:eastAsia="ru-RU"/>
              </w:rPr>
              <w:t xml:space="preserve">и капитальный ремонт объектов коммунального комплекса (в том числе </w:t>
            </w:r>
            <w:proofErr w:type="gramEnd"/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в рамках концессионных соглашений)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Строительство, реконструкция, модернизация, проведение капитального ремонта (с заменой) систем газораспределения, теплоснабжения, водоснабжения и водоотведения, в том числе</w:t>
            </w:r>
            <w:r>
              <w:rPr>
                <w:color w:val="000000"/>
                <w:lang w:eastAsia="ru-RU"/>
              </w:rPr>
              <w:t xml:space="preserve">            </w:t>
            </w:r>
            <w:r w:rsidRPr="00526139">
              <w:rPr>
                <w:color w:val="000000"/>
                <w:lang w:eastAsia="ru-RU"/>
              </w:rPr>
              <w:t xml:space="preserve"> с применением композитных материалов; </w:t>
            </w:r>
            <w:proofErr w:type="spellStart"/>
            <w:proofErr w:type="gramStart"/>
            <w:r w:rsidRPr="00526139">
              <w:rPr>
                <w:color w:val="000000"/>
                <w:lang w:eastAsia="ru-RU"/>
              </w:rPr>
              <w:t>софинансирование</w:t>
            </w:r>
            <w:proofErr w:type="spellEnd"/>
            <w:r w:rsidRPr="00526139">
              <w:rPr>
                <w:color w:val="000000"/>
                <w:lang w:eastAsia="ru-RU"/>
              </w:rPr>
              <w:t xml:space="preserve"> части расходов на создание, реконструкцию, модернизацию объекта концессионного соглашения, в том числе изготовление </w:t>
            </w:r>
            <w:proofErr w:type="spellStart"/>
            <w:r w:rsidRPr="00526139">
              <w:rPr>
                <w:color w:val="000000"/>
                <w:lang w:eastAsia="ru-RU"/>
              </w:rPr>
              <w:t>проектно</w:t>
            </w:r>
            <w:proofErr w:type="spellEnd"/>
            <w:r w:rsidRPr="00526139">
              <w:rPr>
                <w:color w:val="000000"/>
                <w:lang w:eastAsia="ru-RU"/>
              </w:rPr>
              <w:t xml:space="preserve"> - сметной документации для капитального ремонта инженерных сетей, оплата за экспертизу достоверности сметной стоимости, а также расходов, предусмотренных в рамках концессионного соглашения в форме платы </w:t>
            </w:r>
            <w:proofErr w:type="spellStart"/>
            <w:r w:rsidRPr="00526139">
              <w:rPr>
                <w:color w:val="000000"/>
                <w:lang w:eastAsia="ru-RU"/>
              </w:rPr>
              <w:t>концендента</w:t>
            </w:r>
            <w:proofErr w:type="spellEnd"/>
            <w:r w:rsidRPr="00526139">
              <w:rPr>
                <w:color w:val="000000"/>
                <w:lang w:eastAsia="ru-RU"/>
              </w:rPr>
              <w:t>, возмещение затрат в части эксплуатационных расходов, понесенных концессионером в процессе реализации концессионного соглашения</w:t>
            </w:r>
            <w:proofErr w:type="gramEnd"/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Федеральный закон от 21.07.2005 № 115-ФЗ </w:t>
            </w:r>
            <w:r>
              <w:rPr>
                <w:color w:val="000000"/>
                <w:lang w:eastAsia="ru-RU"/>
              </w:rPr>
              <w:t xml:space="preserve">                   </w:t>
            </w:r>
            <w:r w:rsidRPr="00526139">
              <w:rPr>
                <w:color w:val="000000"/>
                <w:lang w:eastAsia="ru-RU"/>
              </w:rPr>
              <w:t xml:space="preserve">«О концессионных соглашениях»;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распоряжение Правительства Ханты-Мансийского автономного округа - Югры от 23.01.2015 № 12-рп «О комплексе мер («дорожной карте») по развитию жилищно-коммунального комплекса 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 xml:space="preserve">Ханты-Мансийского автономного округа - Югры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526139">
              <w:rPr>
                <w:color w:val="000000"/>
                <w:lang w:eastAsia="ru-RU"/>
              </w:rPr>
              <w:t xml:space="preserve">на 2017-2020 годы»;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приложение 1, 3, 9, 13 к государственной программе Ханты-Мансийского автономного округа – Югры «Жилищно-коммунальный комплекс и городская среда»;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постановление администрации города Югорска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от 23.12.2016 № 3331 «О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Югорска»,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портфель проектов «Экология»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Показатель 1. Доля замены ветхих инженерных сетей тепло-, водоснабжения, водоотведения</w:t>
            </w:r>
            <w:r>
              <w:rPr>
                <w:color w:val="000000"/>
                <w:lang w:eastAsia="ru-RU"/>
              </w:rPr>
              <w:t xml:space="preserve">            </w:t>
            </w:r>
            <w:r w:rsidRPr="00526139">
              <w:rPr>
                <w:color w:val="000000"/>
                <w:lang w:eastAsia="ru-RU"/>
              </w:rPr>
              <w:t xml:space="preserve"> от общей протяженности ветхих инженерных сетей тепло-, водоснабжения, водоотведения,</w:t>
            </w:r>
            <w:r>
              <w:rPr>
                <w:color w:val="000000"/>
                <w:lang w:eastAsia="ru-RU"/>
              </w:rPr>
              <w:t xml:space="preserve">         </w:t>
            </w:r>
            <w:r w:rsidRPr="00526139">
              <w:rPr>
                <w:color w:val="000000"/>
                <w:lang w:eastAsia="ru-RU"/>
              </w:rPr>
              <w:t xml:space="preserve"> % (отношение протяженности замененных инженерных сетей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526139">
              <w:rPr>
                <w:color w:val="000000"/>
                <w:lang w:eastAsia="ru-RU"/>
              </w:rPr>
              <w:t>к общей протяженности ветхих сетей с нарастающим итогом)</w:t>
            </w:r>
          </w:p>
        </w:tc>
      </w:tr>
      <w:tr w:rsidR="00526139" w:rsidRPr="00526139" w:rsidTr="00526139">
        <w:trPr>
          <w:trHeight w:val="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Строительство систем инженерной инфраструктуры в целях обеспечения инженерной подготовки земельных участков для жилищного строительства на условиях </w:t>
            </w:r>
            <w:proofErr w:type="spellStart"/>
            <w:r w:rsidRPr="00526139">
              <w:rPr>
                <w:color w:val="000000"/>
                <w:lang w:eastAsia="ru-RU"/>
              </w:rPr>
              <w:t>софинансирования</w:t>
            </w:r>
            <w:proofErr w:type="spellEnd"/>
            <w:r w:rsidRPr="00526139">
              <w:rPr>
                <w:color w:val="000000"/>
                <w:lang w:eastAsia="ru-RU"/>
              </w:rPr>
              <w:t xml:space="preserve"> из средств бюджета автономного округа и местного бюджета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Приложение 3 к государственной программе </w:t>
            </w:r>
            <w:r>
              <w:rPr>
                <w:color w:val="000000"/>
                <w:lang w:eastAsia="ru-RU"/>
              </w:rPr>
              <w:t xml:space="preserve">          </w:t>
            </w:r>
            <w:r w:rsidRPr="00526139">
              <w:rPr>
                <w:color w:val="000000"/>
                <w:lang w:eastAsia="ru-RU"/>
              </w:rPr>
              <w:t>Ханты-Мансийского автономного округа – Югры «Развитие жилищной сферы»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Показатель 2. Площадь земельных участков, обеспеченных инженерными сетями водоотведения, </w:t>
            </w:r>
            <w:proofErr w:type="gramStart"/>
            <w:r w:rsidRPr="00526139">
              <w:rPr>
                <w:color w:val="000000"/>
                <w:lang w:eastAsia="ru-RU"/>
              </w:rPr>
              <w:t>га</w:t>
            </w:r>
            <w:proofErr w:type="gramEnd"/>
            <w:r w:rsidRPr="00526139">
              <w:rPr>
                <w:color w:val="000000"/>
                <w:lang w:eastAsia="ru-RU"/>
              </w:rPr>
              <w:t xml:space="preserve"> (по данным административного учета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 xml:space="preserve"> с нарастающим итогом) </w:t>
            </w:r>
            <w:r w:rsidRPr="00526139">
              <w:rPr>
                <w:color w:val="000000"/>
                <w:lang w:eastAsia="ru-RU"/>
              </w:rPr>
              <w:lastRenderedPageBreak/>
              <w:t xml:space="preserve">Показатель 3. Площадь земельных участков, обеспеченных инженерными сетями газоснабжения, </w:t>
            </w:r>
            <w:proofErr w:type="gramStart"/>
            <w:r w:rsidRPr="00526139">
              <w:rPr>
                <w:color w:val="000000"/>
                <w:lang w:eastAsia="ru-RU"/>
              </w:rPr>
              <w:t>га</w:t>
            </w:r>
            <w:proofErr w:type="gramEnd"/>
            <w:r w:rsidRPr="00526139">
              <w:rPr>
                <w:color w:val="000000"/>
                <w:lang w:eastAsia="ru-RU"/>
              </w:rPr>
              <w:t xml:space="preserve"> (по данным административного учета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 xml:space="preserve"> с нарастающим итогом)</w:t>
            </w:r>
          </w:p>
        </w:tc>
      </w:tr>
      <w:tr w:rsidR="00526139" w:rsidRPr="00526139" w:rsidTr="00526139">
        <w:trPr>
          <w:trHeight w:val="38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Выполнение мероприятий по консалтинговому обследованию, разработке и (или) актуализации программ, схем </w:t>
            </w:r>
            <w:r>
              <w:rPr>
                <w:color w:val="000000"/>
                <w:lang w:eastAsia="ru-RU"/>
              </w:rPr>
              <w:t xml:space="preserve">                          </w:t>
            </w:r>
            <w:r w:rsidRPr="00526139">
              <w:rPr>
                <w:color w:val="000000"/>
                <w:lang w:eastAsia="ru-RU"/>
              </w:rPr>
              <w:t>и нормативных документов в сфере жилищно-коммунального комплекса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Ежегодное проведение мероприятий 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 xml:space="preserve">для научного обоснования принимаемых решений по развитию жилищно-коммунального комплекса и обеспечения функционирования жилищно-коммунального комплекса </w:t>
            </w:r>
            <w:r>
              <w:rPr>
                <w:color w:val="000000"/>
                <w:lang w:eastAsia="ru-RU"/>
              </w:rPr>
              <w:t xml:space="preserve">                          </w:t>
            </w:r>
            <w:r w:rsidRPr="00526139">
              <w:rPr>
                <w:color w:val="000000"/>
                <w:lang w:eastAsia="ru-RU"/>
              </w:rPr>
              <w:t>в соответствии с действующим законодательством на уровне муниципального образования (наличие актуальных схем, программ и прочих нормативных документов)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Федеральный закон от 06.10.2003 № 131-ФЗ </w:t>
            </w:r>
            <w:r>
              <w:rPr>
                <w:color w:val="000000"/>
                <w:lang w:eastAsia="ru-RU"/>
              </w:rPr>
              <w:t xml:space="preserve">                  </w:t>
            </w:r>
            <w:r w:rsidRPr="00526139">
              <w:rPr>
                <w:color w:val="000000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Показатель 4. Количество выполненных мероприятий 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 xml:space="preserve">по консалтинговому обследованию, разработке и (или) актуализации программ, схем 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>и нормативных документов</w:t>
            </w:r>
            <w:r>
              <w:rPr>
                <w:color w:val="000000"/>
                <w:lang w:eastAsia="ru-RU"/>
              </w:rPr>
              <w:t xml:space="preserve">                    </w:t>
            </w:r>
            <w:r w:rsidRPr="00526139">
              <w:rPr>
                <w:color w:val="000000"/>
                <w:lang w:eastAsia="ru-RU"/>
              </w:rPr>
              <w:t xml:space="preserve"> в сфере ЖКК, ед. (по данным административного учета)</w:t>
            </w:r>
          </w:p>
        </w:tc>
      </w:tr>
      <w:tr w:rsidR="00526139" w:rsidRPr="00526139" w:rsidTr="00526139">
        <w:trPr>
          <w:trHeight w:val="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Поддержка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Реализация проектов, направленных на уменьшение потребления энергетических ресурсов в различных отраслях экономики, бюджетной сфере и жилищно-коммунальном комплексе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Федеральный закон от 23.11.2009 № 261-ФЗ </w:t>
            </w:r>
            <w:r>
              <w:rPr>
                <w:color w:val="000000"/>
                <w:lang w:eastAsia="ru-RU"/>
              </w:rPr>
              <w:t xml:space="preserve">                 </w:t>
            </w:r>
            <w:r w:rsidRPr="00526139">
              <w:rPr>
                <w:color w:val="000000"/>
                <w:lang w:eastAsia="ru-RU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Показатель 5. Количество реализуемых инвестиционных проектов в сфере жилищно-коммунального комплекса, в том числе на основе концессионных соглашений и энергосберегающих проектов в транспортном комплексе, жилищном фонде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526139">
              <w:rPr>
                <w:color w:val="000000"/>
                <w:lang w:eastAsia="ru-RU"/>
              </w:rPr>
              <w:t xml:space="preserve">и муниципальной сфере, ед. 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>(по данным административного учета)</w:t>
            </w:r>
          </w:p>
        </w:tc>
      </w:tr>
      <w:tr w:rsidR="00526139" w:rsidRPr="00526139" w:rsidTr="00526139">
        <w:trPr>
          <w:trHeight w:val="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Предоставление субсидий организациям коммунального комплекса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Возмещение части затрат на уплату процентов по привлекаемым заемным средствам, направленных на оплату задолженности организаций коммунального комплекса</w:t>
            </w:r>
            <w:r>
              <w:rPr>
                <w:color w:val="000000"/>
                <w:lang w:eastAsia="ru-RU"/>
              </w:rPr>
              <w:t xml:space="preserve">                    </w:t>
            </w:r>
            <w:r w:rsidRPr="00526139">
              <w:rPr>
                <w:color w:val="000000"/>
                <w:lang w:eastAsia="ru-RU"/>
              </w:rPr>
              <w:t xml:space="preserve"> за потребленные энергоресурсы; предоставление субсидии на возмещение недополученных доходов организациям, осуществляющим оказание населению жилищно-коммунальных услуг, в целях недопущения роста платы населения (и приравненных к нему категорий потребителей) за поставляемые ресурсы; </w:t>
            </w:r>
            <w:r w:rsidRPr="00526139">
              <w:rPr>
                <w:color w:val="000000"/>
                <w:lang w:eastAsia="ru-RU"/>
              </w:rPr>
              <w:lastRenderedPageBreak/>
              <w:t>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>Приложение 4 к государственной программе</w:t>
            </w:r>
            <w:r>
              <w:rPr>
                <w:color w:val="000000"/>
                <w:lang w:eastAsia="ru-RU"/>
              </w:rPr>
              <w:t xml:space="preserve">          </w:t>
            </w:r>
            <w:r w:rsidRPr="00526139">
              <w:rPr>
                <w:color w:val="000000"/>
                <w:lang w:eastAsia="ru-RU"/>
              </w:rPr>
              <w:t xml:space="preserve"> Ханты-Мансийского автономного округа – Югры «Жилищно-коммунальный комплекс и городская среда»;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постановление администрации города Югорска </w:t>
            </w:r>
            <w:r>
              <w:rPr>
                <w:color w:val="000000"/>
                <w:lang w:eastAsia="ru-RU"/>
              </w:rPr>
              <w:t xml:space="preserve">                 </w:t>
            </w:r>
            <w:r w:rsidRPr="00526139">
              <w:rPr>
                <w:color w:val="000000"/>
                <w:lang w:eastAsia="ru-RU"/>
              </w:rPr>
              <w:t>от 22.12.2016 № 3287 «О Порядке предоставления субсидий в целях возмещения недополученных доходов, при оказании жилищно-коммунальных услуг населению города Югорска»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Показатель 6. Количество потребляемого сжиженного газа, </w:t>
            </w:r>
            <w:proofErr w:type="gramStart"/>
            <w:r w:rsidRPr="00526139">
              <w:rPr>
                <w:color w:val="000000"/>
                <w:lang w:eastAsia="ru-RU"/>
              </w:rPr>
              <w:t>кг</w:t>
            </w:r>
            <w:proofErr w:type="gramEnd"/>
            <w:r w:rsidRPr="00526139">
              <w:rPr>
                <w:color w:val="000000"/>
                <w:lang w:eastAsia="ru-RU"/>
              </w:rPr>
              <w:t xml:space="preserve"> (по данным административного учета с понижением)</w:t>
            </w:r>
          </w:p>
        </w:tc>
      </w:tr>
      <w:tr w:rsidR="00526139" w:rsidRPr="00526139" w:rsidTr="00526139">
        <w:trPr>
          <w:trHeight w:val="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526139">
              <w:rPr>
                <w:color w:val="000000"/>
                <w:lang w:eastAsia="ru-RU"/>
              </w:rPr>
              <w:t>Финансовое обеспечение деятельности органов местного самоуправления в сфере жилищно-коммунального и строительного комплекса, оплата земельного налога, оплата членских взносов за участие департамента жилищно-коммунального и строительного комплекса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 в Саморегулируемой организации, проведение инвентаризации, паспортизации построенных объектов, оплата за ответственное хранение материалов и оборудования, оплату штрафов,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</w:t>
            </w:r>
            <w:r>
              <w:rPr>
                <w:color w:val="000000"/>
                <w:lang w:eastAsia="ru-RU"/>
              </w:rPr>
              <w:t xml:space="preserve">              </w:t>
            </w:r>
            <w:r w:rsidRPr="00526139">
              <w:rPr>
                <w:color w:val="000000"/>
                <w:lang w:eastAsia="ru-RU"/>
              </w:rPr>
              <w:t>и</w:t>
            </w:r>
            <w:proofErr w:type="gramEnd"/>
            <w:r w:rsidRPr="00526139">
              <w:rPr>
                <w:color w:val="000000"/>
                <w:lang w:eastAsia="ru-RU"/>
              </w:rPr>
              <w:t xml:space="preserve"> общественных мест, осуществление переданного государственного полномочия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>по предоставлению субсидий на возмещение недополученных доходов организациям, осуществляющим реализацию населению сжиженного газа, прочие затраты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Федеральный закон от 06.10.2003 № 131-ФЗ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решение Думы города Югорска от 25.04.2017 № 39 «Об утверждении  Положения о департаменте жилищно-коммунального и строительного комплекса администрации города Югорска»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Показатели 1-10</w:t>
            </w:r>
          </w:p>
        </w:tc>
      </w:tr>
      <w:tr w:rsidR="00526139" w:rsidRPr="00526139" w:rsidTr="00526139">
        <w:trPr>
          <w:trHeight w:val="3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Задача 2. Содействие своевременному проведению капитального ремонта жилищного фонда</w:t>
            </w:r>
          </w:p>
        </w:tc>
      </w:tr>
      <w:tr w:rsidR="00526139" w:rsidRPr="00526139" w:rsidTr="00526139">
        <w:trPr>
          <w:trHeight w:val="2394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Муниципальная поддержка на проведение капитального ремонта многоквартирных домов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Предоставление муниципальной поддержки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526139">
              <w:rPr>
                <w:color w:val="000000"/>
                <w:lang w:eastAsia="ru-RU"/>
              </w:rPr>
              <w:t>на долевое финансирование проведения капитального ремонта общего имущества</w:t>
            </w:r>
            <w:r>
              <w:rPr>
                <w:color w:val="000000"/>
                <w:lang w:eastAsia="ru-RU"/>
              </w:rPr>
              <w:t xml:space="preserve">                    </w:t>
            </w:r>
            <w:r w:rsidRPr="00526139">
              <w:rPr>
                <w:color w:val="000000"/>
                <w:lang w:eastAsia="ru-RU"/>
              </w:rPr>
              <w:t xml:space="preserve"> в многоквартирных домах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Жилищный кодекс Российской Федерации,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Закон Ханты – Мансийского автономного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 xml:space="preserve"> округа – Югры от 01.07.2013 № 54-оз</w:t>
            </w:r>
            <w:r>
              <w:rPr>
                <w:color w:val="000000"/>
                <w:lang w:eastAsia="ru-RU"/>
              </w:rPr>
              <w:t xml:space="preserve">                           </w:t>
            </w:r>
            <w:r w:rsidRPr="00526139">
              <w:rPr>
                <w:color w:val="000000"/>
                <w:lang w:eastAsia="ru-RU"/>
              </w:rPr>
              <w:t xml:space="preserve"> «Об организации проведения капитального ремонта общего имущества в многоквартирных домах, расположенных на территории </w:t>
            </w:r>
            <w:r>
              <w:rPr>
                <w:color w:val="000000"/>
                <w:lang w:eastAsia="ru-RU"/>
              </w:rPr>
              <w:t xml:space="preserve">                                </w:t>
            </w:r>
            <w:r w:rsidRPr="00526139">
              <w:rPr>
                <w:color w:val="000000"/>
                <w:lang w:eastAsia="ru-RU"/>
              </w:rPr>
              <w:t xml:space="preserve">Ханты – Мансийского автономного округа – Югры»;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 xml:space="preserve">приложение 8 к государственной программе </w:t>
            </w:r>
            <w:r>
              <w:rPr>
                <w:color w:val="000000"/>
                <w:lang w:eastAsia="ru-RU"/>
              </w:rPr>
              <w:t xml:space="preserve">            </w:t>
            </w:r>
            <w:r w:rsidRPr="00526139">
              <w:rPr>
                <w:color w:val="000000"/>
                <w:lang w:eastAsia="ru-RU"/>
              </w:rPr>
              <w:t xml:space="preserve">Ханты-Мансийского автономного округа – Югры «Жилищно-коммунальный комплекс и городская среда»;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постановление администрации города Югорска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от 19.09.2017 № 2255 «Об утверждении Порядка предоставления муниципальной поддержки </w:t>
            </w:r>
            <w:r>
              <w:rPr>
                <w:color w:val="000000"/>
                <w:lang w:eastAsia="ru-RU"/>
              </w:rPr>
              <w:t xml:space="preserve">                    </w:t>
            </w:r>
            <w:r w:rsidRPr="00526139">
              <w:rPr>
                <w:color w:val="000000"/>
                <w:lang w:eastAsia="ru-RU"/>
              </w:rPr>
              <w:t xml:space="preserve">на долевое финансирование проведения капитального ремонта общего имущества </w:t>
            </w:r>
            <w:r>
              <w:rPr>
                <w:color w:val="000000"/>
                <w:lang w:eastAsia="ru-RU"/>
              </w:rPr>
              <w:t xml:space="preserve">                          </w:t>
            </w:r>
            <w:r w:rsidRPr="00526139">
              <w:rPr>
                <w:color w:val="000000"/>
                <w:lang w:eastAsia="ru-RU"/>
              </w:rPr>
              <w:t xml:space="preserve">в многоквартирных домах, расположенных 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>на территории города Югорска»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 xml:space="preserve">Показатель 7. Доля многоквартирных домов, 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 xml:space="preserve">в которых проведен капитальный ремонт в соответствии </w:t>
            </w:r>
            <w:r>
              <w:rPr>
                <w:color w:val="000000"/>
                <w:lang w:eastAsia="ru-RU"/>
              </w:rPr>
              <w:t xml:space="preserve">                           </w:t>
            </w:r>
            <w:r w:rsidRPr="00526139">
              <w:rPr>
                <w:color w:val="000000"/>
                <w:lang w:eastAsia="ru-RU"/>
              </w:rPr>
              <w:t xml:space="preserve">с краткосрочными планами реализации региональной программы капитального ремонта общего имущества </w:t>
            </w:r>
            <w:r>
              <w:rPr>
                <w:color w:val="000000"/>
                <w:lang w:eastAsia="ru-RU"/>
              </w:rPr>
              <w:t xml:space="preserve">                                 </w:t>
            </w:r>
            <w:r w:rsidRPr="00526139">
              <w:rPr>
                <w:color w:val="000000"/>
                <w:lang w:eastAsia="ru-RU"/>
              </w:rPr>
              <w:t xml:space="preserve">в многоквартирных домах, % (отношение количества </w:t>
            </w:r>
            <w:r w:rsidRPr="00526139">
              <w:rPr>
                <w:color w:val="000000"/>
                <w:lang w:eastAsia="ru-RU"/>
              </w:rPr>
              <w:lastRenderedPageBreak/>
              <w:t xml:space="preserve">многоквартирных домов, </w:t>
            </w:r>
            <w:r>
              <w:rPr>
                <w:color w:val="000000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lang w:eastAsia="ru-RU"/>
              </w:rPr>
              <w:t>в которых выполнен капитальный ремонт, к количеству многоквартирных домов, включенных в краткосрочный план)</w:t>
            </w:r>
          </w:p>
        </w:tc>
      </w:tr>
      <w:tr w:rsidR="00526139" w:rsidRPr="00526139" w:rsidTr="00526139">
        <w:trPr>
          <w:trHeight w:val="1784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Ремонт муниципального жилищного фонда 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Проведение работ по ремонту муниципального жилищного фонда, с целью приведения данного жилищного фонда в состояние, пригодное для проживания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Жилищный кодекс Российской Федерации; Федеральный закон от 06.10.2003 № 131-ФЗ </w:t>
            </w:r>
            <w:r>
              <w:rPr>
                <w:color w:val="000000"/>
                <w:lang w:eastAsia="ru-RU"/>
              </w:rPr>
              <w:t xml:space="preserve">                   </w:t>
            </w:r>
            <w:r w:rsidRPr="00526139">
              <w:rPr>
                <w:color w:val="000000"/>
                <w:lang w:eastAsia="ru-RU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Показатель 8. Количество квартир, находящихся в муниципальной собственности, в которых проведен ремонт, ед. (по данным административного учета</w:t>
            </w:r>
            <w:r>
              <w:rPr>
                <w:color w:val="000000"/>
                <w:lang w:eastAsia="ru-RU"/>
              </w:rPr>
              <w:t xml:space="preserve">                        </w:t>
            </w:r>
            <w:r w:rsidRPr="00526139">
              <w:rPr>
                <w:color w:val="000000"/>
                <w:lang w:eastAsia="ru-RU"/>
              </w:rPr>
              <w:t xml:space="preserve"> с нарастающим итогом)</w:t>
            </w:r>
          </w:p>
        </w:tc>
      </w:tr>
      <w:tr w:rsidR="00526139" w:rsidRPr="00526139" w:rsidTr="00526139">
        <w:trPr>
          <w:trHeight w:val="3821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Приведение в технически исправное состояние жилых домов, использовавшихся до 01.01.2012 в качестве общежитий 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Предоставление субсидии на возмещение части затрат на проведение ремонтных работ в жилых домах города Югорска, использовавшихся 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>до 01 января 2012 года в качестве общежитий,</w:t>
            </w:r>
            <w:r>
              <w:rPr>
                <w:color w:val="000000"/>
                <w:lang w:eastAsia="ru-RU"/>
              </w:rPr>
              <w:t xml:space="preserve">             </w:t>
            </w:r>
            <w:r w:rsidRPr="00526139">
              <w:rPr>
                <w:color w:val="000000"/>
                <w:lang w:eastAsia="ru-RU"/>
              </w:rPr>
              <w:t xml:space="preserve"> и не подлежащих включению в региональную программу капитального ремонта, с целью приведения данного жилищного фонда </w:t>
            </w:r>
            <w:r>
              <w:rPr>
                <w:color w:val="000000"/>
                <w:lang w:eastAsia="ru-RU"/>
              </w:rPr>
              <w:t xml:space="preserve">                                </w:t>
            </w:r>
            <w:r w:rsidRPr="00526139">
              <w:rPr>
                <w:color w:val="000000"/>
                <w:lang w:eastAsia="ru-RU"/>
              </w:rPr>
              <w:t>в состояние, пригодное для проживания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Федеральный закон от 06.10.2003 № 131-ФЗ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постановление администрации города Югорска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 от 06.12.2017 № 3015 «Об утверждении Порядка предоставления субсидий юридическим лицам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</w:t>
            </w:r>
            <w:r>
              <w:rPr>
                <w:color w:val="000000"/>
                <w:lang w:eastAsia="ru-RU"/>
              </w:rPr>
              <w:t xml:space="preserve">              </w:t>
            </w:r>
            <w:r w:rsidRPr="00526139">
              <w:rPr>
                <w:color w:val="000000"/>
                <w:lang w:eastAsia="ru-RU"/>
              </w:rPr>
              <w:t xml:space="preserve"> по приведению в технически исправное состояние жилых домов, расположенных на территории города Югорска»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Показатель 9. Доля площади общего имущества в жилых домах, использовавшихся до 01.01.2012 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526139">
              <w:rPr>
                <w:color w:val="000000"/>
                <w:lang w:eastAsia="ru-RU"/>
              </w:rPr>
              <w:t xml:space="preserve">в качестве общежитий, приведенной в технически исправное состояние, % (отношение площади общего имущества, приведенной </w:t>
            </w:r>
            <w:r>
              <w:rPr>
                <w:color w:val="000000"/>
                <w:lang w:eastAsia="ru-RU"/>
              </w:rPr>
              <w:t xml:space="preserve">                       </w:t>
            </w:r>
            <w:r w:rsidRPr="00526139">
              <w:rPr>
                <w:color w:val="000000"/>
                <w:lang w:eastAsia="ru-RU"/>
              </w:rPr>
              <w:t>в технически исправное состояние, к площади общего имущества, требующей выполнения ремонтных работ, с нарастающим итогом)</w:t>
            </w:r>
          </w:p>
        </w:tc>
      </w:tr>
      <w:tr w:rsidR="00526139" w:rsidRPr="00526139" w:rsidTr="00526139">
        <w:trPr>
          <w:trHeight w:val="3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lastRenderedPageBreak/>
              <w:t>Задача 3. Повышение уровня информированности населения о мерах, принимаемых в сфере жилищно-коммунального хозяйства, энергосбережения и повышения энергетической эффективности</w:t>
            </w:r>
          </w:p>
        </w:tc>
      </w:tr>
      <w:tr w:rsidR="00526139" w:rsidRPr="00526139" w:rsidTr="00526139">
        <w:trPr>
          <w:trHeight w:val="70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Привлечение населения </w:t>
            </w:r>
            <w:r>
              <w:rPr>
                <w:color w:val="000000"/>
                <w:lang w:eastAsia="ru-RU"/>
              </w:rPr>
              <w:t xml:space="preserve">              </w:t>
            </w:r>
            <w:r w:rsidRPr="00526139">
              <w:rPr>
                <w:color w:val="000000"/>
                <w:lang w:eastAsia="ru-RU"/>
              </w:rPr>
              <w:t xml:space="preserve">к самостоятельному решению вопросов содержания, благоустройства </w:t>
            </w:r>
            <w:r>
              <w:rPr>
                <w:color w:val="000000"/>
                <w:lang w:eastAsia="ru-RU"/>
              </w:rPr>
              <w:t xml:space="preserve">                         </w:t>
            </w:r>
            <w:r w:rsidRPr="00526139">
              <w:rPr>
                <w:color w:val="000000"/>
                <w:lang w:eastAsia="ru-RU"/>
              </w:rPr>
              <w:t xml:space="preserve">и повышения </w:t>
            </w:r>
            <w:proofErr w:type="spellStart"/>
            <w:r w:rsidRPr="00526139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526139">
              <w:rPr>
                <w:color w:val="000000"/>
                <w:lang w:eastAsia="ru-RU"/>
              </w:rPr>
              <w:t xml:space="preserve"> жилищного фонда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Проведение информационно-разъяснительной работы с населением по вопросам сферы жилищно-коммунального хозяйства, энергосбережения и повышения энергетической эффективности путем привлечения специалистов профильных организаций для проведения обучающих семинаров, участие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 в ежегодном фестивале энергосбережения, проведение городских конкурсов на образцовое содержание домов и прилегающих территорий; проведение работы по пропаганде бережливого производства, обучению сотрудников организаций жилищно-коммунального комплекса принципам бережливого производства, мониторинг и регулярный контроль качества предоставляемых услуг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Распоряжение Правительства Ханты-Мансийского автономного округа - Югры от 19.08.2016 № 455-рп «О концепции «Бережливый регион»</w:t>
            </w:r>
            <w:r>
              <w:rPr>
                <w:color w:val="000000"/>
                <w:lang w:eastAsia="ru-RU"/>
              </w:rPr>
              <w:t xml:space="preserve">                                 </w:t>
            </w:r>
            <w:r w:rsidRPr="00526139">
              <w:rPr>
                <w:color w:val="000000"/>
                <w:lang w:eastAsia="ru-RU"/>
              </w:rPr>
              <w:t xml:space="preserve"> </w:t>
            </w:r>
            <w:proofErr w:type="gramStart"/>
            <w:r w:rsidRPr="00526139">
              <w:rPr>
                <w:color w:val="000000"/>
                <w:lang w:eastAsia="ru-RU"/>
              </w:rPr>
              <w:t>в</w:t>
            </w:r>
            <w:proofErr w:type="gramEnd"/>
            <w:r w:rsidRPr="00526139">
              <w:rPr>
                <w:color w:val="000000"/>
                <w:lang w:eastAsia="ru-RU"/>
              </w:rPr>
              <w:t xml:space="preserve"> </w:t>
            </w:r>
            <w:proofErr w:type="gramStart"/>
            <w:r w:rsidRPr="00526139">
              <w:rPr>
                <w:color w:val="000000"/>
                <w:lang w:eastAsia="ru-RU"/>
              </w:rPr>
              <w:t>Ханты-Мансийском</w:t>
            </w:r>
            <w:proofErr w:type="gramEnd"/>
            <w:r w:rsidRPr="00526139">
              <w:rPr>
                <w:color w:val="000000"/>
                <w:lang w:eastAsia="ru-RU"/>
              </w:rPr>
              <w:t xml:space="preserve"> автономном округе – Югре»;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постановление администрации города Югорска </w:t>
            </w:r>
            <w:r>
              <w:rPr>
                <w:color w:val="000000"/>
                <w:lang w:eastAsia="ru-RU"/>
              </w:rPr>
              <w:t xml:space="preserve">               </w:t>
            </w:r>
            <w:r w:rsidRPr="00526139">
              <w:rPr>
                <w:color w:val="000000"/>
                <w:lang w:eastAsia="ru-RU"/>
              </w:rPr>
              <w:t xml:space="preserve">от 31.05.2013 № 1366 «Об утверждении Положения </w:t>
            </w:r>
            <w:r>
              <w:rPr>
                <w:color w:val="000000"/>
                <w:lang w:eastAsia="ru-RU"/>
              </w:rPr>
              <w:t xml:space="preserve">  </w:t>
            </w:r>
            <w:r w:rsidRPr="00526139">
              <w:rPr>
                <w:color w:val="000000"/>
                <w:lang w:eastAsia="ru-RU"/>
              </w:rPr>
              <w:t>о реализации мероприятий, направленных</w:t>
            </w:r>
            <w:r>
              <w:rPr>
                <w:color w:val="000000"/>
                <w:lang w:eastAsia="ru-RU"/>
              </w:rPr>
              <w:t xml:space="preserve">                       </w:t>
            </w:r>
            <w:r w:rsidRPr="00526139">
              <w:rPr>
                <w:color w:val="000000"/>
                <w:lang w:eastAsia="ru-RU"/>
              </w:rPr>
              <w:t xml:space="preserve"> на информирование населения о принимаемых 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на территории города Югорска мерах в сфере жилищно-коммунального хозяйства и по вопросам развития общественного контроля в этой сфере»;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постановление администрации города Югорска</w:t>
            </w:r>
            <w:r>
              <w:rPr>
                <w:color w:val="000000"/>
                <w:lang w:eastAsia="ru-RU"/>
              </w:rPr>
              <w:t xml:space="preserve">                   </w:t>
            </w:r>
            <w:r w:rsidRPr="00526139">
              <w:rPr>
                <w:color w:val="000000"/>
                <w:lang w:eastAsia="ru-RU"/>
              </w:rPr>
              <w:t xml:space="preserve"> от 03.09.2014 № 4557 «О проведении городского конкурса «Многоквартирный дом образцового содержания»; </w:t>
            </w:r>
          </w:p>
          <w:p w:rsid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>постановление администрации города Югорска</w:t>
            </w:r>
            <w:r>
              <w:rPr>
                <w:color w:val="000000"/>
                <w:lang w:eastAsia="ru-RU"/>
              </w:rPr>
              <w:t xml:space="preserve">                </w:t>
            </w:r>
            <w:r w:rsidRPr="00526139">
              <w:rPr>
                <w:color w:val="000000"/>
                <w:lang w:eastAsia="ru-RU"/>
              </w:rPr>
              <w:t xml:space="preserve"> от 22.12.2016 № 3280 «О проведении городского конкурса «Самый благоустроенный двор частного сектора «Югорский дворик»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26139">
              <w:rPr>
                <w:color w:val="000000"/>
                <w:lang w:eastAsia="ru-RU"/>
              </w:rPr>
              <w:t xml:space="preserve">Показатель 10. Количество мероприятий по привлечению населения к самостоятельному решению вопросов содержания, благоустройства и повышения </w:t>
            </w:r>
            <w:proofErr w:type="spellStart"/>
            <w:r w:rsidRPr="00526139">
              <w:rPr>
                <w:color w:val="000000"/>
                <w:lang w:eastAsia="ru-RU"/>
              </w:rPr>
              <w:t>энергоэффективности</w:t>
            </w:r>
            <w:proofErr w:type="spellEnd"/>
            <w:r w:rsidRPr="00526139">
              <w:rPr>
                <w:color w:val="000000"/>
                <w:lang w:eastAsia="ru-RU"/>
              </w:rPr>
              <w:t xml:space="preserve"> жилищного фонда, ед. (по данным административного учета)</w:t>
            </w:r>
          </w:p>
        </w:tc>
      </w:tr>
    </w:tbl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526139" w:rsidRDefault="00526139" w:rsidP="005F6CCF">
      <w:pPr>
        <w:ind w:firstLine="709"/>
        <w:jc w:val="both"/>
        <w:rPr>
          <w:b/>
          <w:sz w:val="28"/>
          <w:szCs w:val="24"/>
        </w:rPr>
        <w:sectPr w:rsidR="00526139" w:rsidSect="00555867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526139" w:rsidRPr="00526139" w:rsidRDefault="00526139" w:rsidP="00526139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lastRenderedPageBreak/>
        <w:t>Таблица 5</w:t>
      </w:r>
    </w:p>
    <w:p w:rsidR="00526139" w:rsidRP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t>Сводные показатели муниципальных заданий*</w:t>
      </w:r>
    </w:p>
    <w:p w:rsidR="00526139" w:rsidRP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526139" w:rsidRPr="003E7150" w:rsidRDefault="00526139" w:rsidP="00526139">
      <w:pPr>
        <w:suppressAutoHyphens w:val="0"/>
        <w:spacing w:before="240"/>
        <w:ind w:firstLine="709"/>
        <w:jc w:val="both"/>
        <w:rPr>
          <w:bCs/>
          <w:sz w:val="24"/>
          <w:szCs w:val="24"/>
          <w:lang w:eastAsia="ru-RU"/>
        </w:rPr>
      </w:pPr>
      <w:r w:rsidRPr="003E7150">
        <w:rPr>
          <w:bCs/>
          <w:sz w:val="24"/>
          <w:szCs w:val="24"/>
          <w:lang w:eastAsia="ru-RU"/>
        </w:rPr>
        <w:t>* - таблица не заполняется в связи с отсутствием подведомственных учреждений и, соответственно, отсутст</w:t>
      </w:r>
      <w:r>
        <w:rPr>
          <w:bCs/>
          <w:sz w:val="24"/>
          <w:szCs w:val="24"/>
          <w:lang w:eastAsia="ru-RU"/>
        </w:rPr>
        <w:t>вием муниципальных заданий</w:t>
      </w:r>
    </w:p>
    <w:p w:rsidR="00526139" w:rsidRPr="003E7150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right"/>
        <w:rPr>
          <w:bCs/>
          <w:sz w:val="24"/>
          <w:szCs w:val="24"/>
          <w:lang w:eastAsia="ru-RU"/>
        </w:rPr>
      </w:pPr>
    </w:p>
    <w:p w:rsidR="00526139" w:rsidRPr="00526139" w:rsidRDefault="00526139" w:rsidP="00526139">
      <w:pPr>
        <w:suppressAutoHyphens w:val="0"/>
        <w:jc w:val="right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lastRenderedPageBreak/>
        <w:t>Таблица 6</w:t>
      </w:r>
    </w:p>
    <w:p w:rsidR="00526139" w:rsidRP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t xml:space="preserve">Перечень возможных рисков при реализации муниципальной программы и мер </w:t>
      </w:r>
    </w:p>
    <w:p w:rsidR="00526139" w:rsidRPr="00526139" w:rsidRDefault="00526139" w:rsidP="00526139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526139">
        <w:rPr>
          <w:b/>
          <w:bCs/>
          <w:sz w:val="24"/>
          <w:szCs w:val="24"/>
          <w:lang w:eastAsia="ru-RU"/>
        </w:rPr>
        <w:t>по их преодолению</w:t>
      </w:r>
    </w:p>
    <w:p w:rsidR="00526139" w:rsidRPr="003E7150" w:rsidRDefault="00526139" w:rsidP="00526139">
      <w:pPr>
        <w:suppressAutoHyphens w:val="0"/>
        <w:rPr>
          <w:b/>
          <w:bCs/>
          <w:sz w:val="24"/>
          <w:szCs w:val="24"/>
          <w:lang w:eastAsia="ru-RU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652"/>
        <w:gridCol w:w="4135"/>
        <w:gridCol w:w="5245"/>
      </w:tblGrid>
      <w:tr w:rsidR="00526139" w:rsidRPr="00526139" w:rsidTr="00526139">
        <w:trPr>
          <w:trHeight w:val="255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6139"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26139">
              <w:rPr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bCs/>
                <w:color w:val="000000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2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bCs/>
                <w:color w:val="000000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526139" w:rsidRPr="00526139" w:rsidTr="00526139">
        <w:trPr>
          <w:trHeight w:val="2152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Модернизация и технологическое обновление основных фондов жилищно-коммунального комплекса с применением </w:t>
            </w:r>
            <w:proofErr w:type="spellStart"/>
            <w:r w:rsidRPr="00526139">
              <w:rPr>
                <w:color w:val="000000"/>
                <w:sz w:val="24"/>
                <w:szCs w:val="24"/>
                <w:lang w:eastAsia="ru-RU"/>
              </w:rPr>
              <w:t>ресурс</w:t>
            </w:r>
            <w:proofErr w:type="gramStart"/>
            <w:r w:rsidRPr="00526139">
              <w:rPr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526139">
              <w:rPr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и энергосберегающего оборудования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>и материалов; планирование бюджетных расходов с применением методик оценки эффективности бюджетных расходов</w:t>
            </w:r>
          </w:p>
        </w:tc>
      </w:tr>
      <w:tr w:rsidR="00526139" w:rsidRPr="00526139" w:rsidTr="00526139">
        <w:trPr>
          <w:trHeight w:val="212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Несовершенство законодательства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>в сфере жилищно-коммунального комплекса (нормативные правовые риски)</w:t>
            </w:r>
          </w:p>
        </w:tc>
        <w:tc>
          <w:tcPr>
            <w:tcW w:w="2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Активная нормотворческая деятельность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>в сфере имущественных отношений, в том числе проведение мониторинга планируемых изменений в законодательстве Российской Федерации и Ханты-Мансийского автономного округа - Югры в сфере жилищно-коммунального хозяйства</w:t>
            </w:r>
          </w:p>
        </w:tc>
      </w:tr>
      <w:tr w:rsidR="00526139" w:rsidRPr="00526139" w:rsidTr="00526139">
        <w:trPr>
          <w:trHeight w:val="1831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Недостаточное привлечение инвестиций в жилищно-коммунальный комплекс (финансовые риски)</w:t>
            </w:r>
          </w:p>
        </w:tc>
        <w:tc>
          <w:tcPr>
            <w:tcW w:w="26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Передача объектов коммунального комплекса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>в концессию; предоставление инвесторам субсидий из бюджета на возмещение части затрат на уплату процентов по заемным средствам для реализации инвестиционных проектов</w:t>
            </w:r>
          </w:p>
        </w:tc>
      </w:tr>
      <w:tr w:rsidR="00526139" w:rsidRPr="00526139" w:rsidTr="00526139">
        <w:trPr>
          <w:trHeight w:val="70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Недостаточная координация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>и взаимодействие государственных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 и муниципальных органов </w:t>
            </w:r>
            <w:r w:rsidR="00F42B98">
              <w:rPr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>по управлению жилищно-коммунальным комплексом (административные риски)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526139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6139">
              <w:rPr>
                <w:color w:val="000000"/>
                <w:sz w:val="24"/>
                <w:szCs w:val="24"/>
                <w:lang w:eastAsia="ru-RU"/>
              </w:rPr>
              <w:t>Усиление координации и взаимодействия государственных и муниципальных органов,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526139">
              <w:rPr>
                <w:color w:val="000000"/>
                <w:sz w:val="24"/>
                <w:szCs w:val="24"/>
                <w:lang w:eastAsia="ru-RU"/>
              </w:rPr>
              <w:t xml:space="preserve"> в том числе посредством проведения совещаний; повышение уровня информационного обеспечения, в том числе расширение доступа к отчетности. В целях минимизации (снижения) административных рисков предполагается:</w:t>
            </w:r>
          </w:p>
        </w:tc>
      </w:tr>
      <w:tr w:rsidR="00526139" w:rsidRPr="00526139" w:rsidTr="00526139">
        <w:trPr>
          <w:trHeight w:val="7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F42B98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                 </w:t>
            </w:r>
            <w:r w:rsidR="00526139" w:rsidRPr="00526139">
              <w:rPr>
                <w:color w:val="000000"/>
                <w:sz w:val="24"/>
                <w:szCs w:val="24"/>
                <w:lang w:eastAsia="ru-RU"/>
              </w:rPr>
              <w:t xml:space="preserve">регулярная публикация отчетов </w:t>
            </w:r>
            <w:r w:rsidR="00526139">
              <w:rPr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526139" w:rsidRPr="00526139">
              <w:rPr>
                <w:color w:val="000000"/>
                <w:sz w:val="24"/>
                <w:szCs w:val="24"/>
                <w:lang w:eastAsia="ru-RU"/>
              </w:rPr>
              <w:t>о ходе реализации муниципальной программы;</w:t>
            </w:r>
          </w:p>
        </w:tc>
      </w:tr>
      <w:tr w:rsidR="00526139" w:rsidRPr="00526139" w:rsidTr="00526139">
        <w:trPr>
          <w:trHeight w:val="7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F42B98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                 </w:t>
            </w:r>
            <w:r w:rsidR="00526139" w:rsidRPr="00526139">
              <w:rPr>
                <w:color w:val="000000"/>
                <w:sz w:val="24"/>
                <w:szCs w:val="24"/>
                <w:lang w:eastAsia="ru-RU"/>
              </w:rPr>
              <w:t>повышение эффективности взаимодействия участников реализации муниципальной;</w:t>
            </w:r>
          </w:p>
        </w:tc>
      </w:tr>
      <w:tr w:rsidR="00526139" w:rsidRPr="00526139" w:rsidTr="00526139">
        <w:trPr>
          <w:trHeight w:val="70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6139" w:rsidRPr="00526139" w:rsidRDefault="00526139" w:rsidP="007E51D1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139" w:rsidRPr="00526139" w:rsidRDefault="00F42B98" w:rsidP="007E51D1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                  </w:t>
            </w:r>
            <w:r w:rsidR="00526139" w:rsidRPr="00526139">
              <w:rPr>
                <w:color w:val="000000"/>
                <w:sz w:val="24"/>
                <w:szCs w:val="24"/>
                <w:lang w:eastAsia="ru-RU"/>
              </w:rPr>
              <w:t>своевременная корректировка программных мероприятий</w:t>
            </w:r>
          </w:p>
        </w:tc>
      </w:tr>
    </w:tbl>
    <w:p w:rsidR="00526139" w:rsidRDefault="00526139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5F6CCF">
      <w:pPr>
        <w:ind w:firstLine="709"/>
        <w:jc w:val="both"/>
        <w:rPr>
          <w:b/>
          <w:sz w:val="28"/>
          <w:szCs w:val="24"/>
        </w:rPr>
      </w:pPr>
    </w:p>
    <w:p w:rsidR="00F42B98" w:rsidRDefault="00F42B98" w:rsidP="00F42B98">
      <w:pPr>
        <w:ind w:firstLine="709"/>
        <w:jc w:val="right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>Таблица 7</w:t>
      </w:r>
    </w:p>
    <w:p w:rsidR="00F42B98" w:rsidRDefault="00F42B98" w:rsidP="00F42B98">
      <w:pPr>
        <w:ind w:firstLine="709"/>
        <w:jc w:val="right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bCs/>
          <w:sz w:val="24"/>
          <w:szCs w:val="24"/>
          <w:lang w:eastAsia="ru-RU"/>
        </w:rPr>
      </w:pPr>
      <w:r w:rsidRPr="00F42B98">
        <w:rPr>
          <w:b/>
          <w:bCs/>
          <w:sz w:val="24"/>
          <w:szCs w:val="24"/>
          <w:lang w:eastAsia="ru-RU"/>
        </w:rPr>
        <w:t>Перечень объектов капитального строительства</w:t>
      </w:r>
    </w:p>
    <w:p w:rsidR="00F42B98" w:rsidRDefault="00F42B98" w:rsidP="00F42B98">
      <w:pPr>
        <w:rPr>
          <w:b/>
          <w:bCs/>
          <w:sz w:val="24"/>
          <w:szCs w:val="24"/>
          <w:lang w:eastAsia="ru-RU"/>
        </w:rPr>
      </w:pPr>
    </w:p>
    <w:tbl>
      <w:tblPr>
        <w:tblW w:w="4894" w:type="pct"/>
        <w:tblInd w:w="108" w:type="dxa"/>
        <w:tblLook w:val="04A0" w:firstRow="1" w:lastRow="0" w:firstColumn="1" w:lastColumn="0" w:noHBand="0" w:noVBand="1"/>
      </w:tblPr>
      <w:tblGrid>
        <w:gridCol w:w="726"/>
        <w:gridCol w:w="2885"/>
        <w:gridCol w:w="1435"/>
        <w:gridCol w:w="2413"/>
        <w:gridCol w:w="2463"/>
      </w:tblGrid>
      <w:tr w:rsidR="00F42B98" w:rsidRPr="00F42B98" w:rsidTr="00F42B98">
        <w:trPr>
          <w:trHeight w:val="7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2B98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B98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42B98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2B98">
              <w:rPr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2B98">
              <w:rPr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2B98">
              <w:rPr>
                <w:bCs/>
                <w:sz w:val="24"/>
                <w:szCs w:val="24"/>
                <w:lang w:eastAsia="ru-RU"/>
              </w:rPr>
              <w:t>Сроки строительства, проектирования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42B98">
              <w:rPr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42B98" w:rsidRPr="00F42B98" w:rsidTr="00F42B98">
        <w:trPr>
          <w:trHeight w:val="1641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Сети канализации микрорайонов индивидуальной застройки микрорайонов 5, 7 в городе Югорске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10 511 м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 xml:space="preserve">Бюджет автономного округа, </w:t>
            </w:r>
            <w:r w:rsidRPr="00F42B98">
              <w:rPr>
                <w:sz w:val="24"/>
                <w:szCs w:val="24"/>
                <w:lang w:eastAsia="ru-RU"/>
              </w:rPr>
              <w:br/>
              <w:t>местный бюджет</w:t>
            </w:r>
          </w:p>
        </w:tc>
      </w:tr>
      <w:tr w:rsidR="00F42B98" w:rsidRPr="00F42B98" w:rsidTr="00F42B98">
        <w:trPr>
          <w:trHeight w:val="1693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Default="00F42B98" w:rsidP="00F42B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 xml:space="preserve">Канализационные очистные сооружения производительностью 500 </w:t>
            </w:r>
            <w:proofErr w:type="spellStart"/>
            <w:r w:rsidRPr="00F42B98">
              <w:rPr>
                <w:sz w:val="24"/>
                <w:szCs w:val="24"/>
                <w:lang w:eastAsia="ru-RU"/>
              </w:rPr>
              <w:t>куб.м</w:t>
            </w:r>
            <w:proofErr w:type="spellEnd"/>
            <w:r w:rsidRPr="00F42B98">
              <w:rPr>
                <w:sz w:val="24"/>
                <w:szCs w:val="24"/>
                <w:lang w:eastAsia="ru-RU"/>
              </w:rPr>
              <w:t xml:space="preserve">. в сутки </w:t>
            </w:r>
          </w:p>
          <w:p w:rsidR="00F42B98" w:rsidRPr="00F42B98" w:rsidRDefault="00F42B98" w:rsidP="00F42B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в городе Югорске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 xml:space="preserve">500 </w:t>
            </w:r>
            <w:proofErr w:type="spellStart"/>
            <w:r w:rsidRPr="00F42B98">
              <w:rPr>
                <w:sz w:val="24"/>
                <w:szCs w:val="24"/>
                <w:lang w:eastAsia="ru-RU"/>
              </w:rPr>
              <w:t>куб</w:t>
            </w:r>
            <w:proofErr w:type="gramStart"/>
            <w:r w:rsidRPr="00F42B98"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42B9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F42B98">
              <w:rPr>
                <w:sz w:val="24"/>
                <w:szCs w:val="24"/>
                <w:lang w:eastAsia="ru-RU"/>
              </w:rPr>
              <w:t>сут</w:t>
            </w:r>
            <w:proofErr w:type="spellEnd"/>
            <w:r w:rsidRPr="00F42B9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 xml:space="preserve">Бюджет автономного округа, </w:t>
            </w:r>
            <w:r w:rsidRPr="00F42B98">
              <w:rPr>
                <w:sz w:val="24"/>
                <w:szCs w:val="24"/>
                <w:lang w:eastAsia="ru-RU"/>
              </w:rPr>
              <w:br/>
              <w:t>местный бюджет</w:t>
            </w:r>
          </w:p>
        </w:tc>
      </w:tr>
      <w:tr w:rsidR="00F42B98" w:rsidRPr="00F42B98" w:rsidTr="00F42B98">
        <w:trPr>
          <w:trHeight w:val="7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Default="00F42B98" w:rsidP="00F42B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 xml:space="preserve">Инженерные сети микрорайона ПМК-5 </w:t>
            </w:r>
          </w:p>
          <w:p w:rsidR="00F42B98" w:rsidRPr="00F42B98" w:rsidRDefault="00F42B98" w:rsidP="00F42B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в городе Югорске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ПИР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7E51D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42B98">
              <w:rPr>
                <w:sz w:val="24"/>
                <w:szCs w:val="24"/>
                <w:lang w:eastAsia="ru-RU"/>
              </w:rPr>
              <w:t>Местный бюджет</w:t>
            </w:r>
          </w:p>
        </w:tc>
      </w:tr>
    </w:tbl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  <w:sectPr w:rsidR="00F42B98" w:rsidSect="00526139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42B98" w:rsidRPr="00F42B98" w:rsidRDefault="00F42B98" w:rsidP="00F42B98">
      <w:pPr>
        <w:pStyle w:val="a8"/>
        <w:ind w:firstLine="708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Приложение 1</w:t>
      </w: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br/>
        <w:t>к муниципальной программе города Югорска</w:t>
      </w: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br/>
        <w:t xml:space="preserve">«Развитие жилищно-коммунального комплекса и повышение </w:t>
      </w: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br/>
        <w:t xml:space="preserve">энергетической эффективности» </w:t>
      </w:r>
    </w:p>
    <w:p w:rsidR="00F42B98" w:rsidRPr="00F42B98" w:rsidRDefault="00F42B98" w:rsidP="00F42B98">
      <w:pPr>
        <w:pStyle w:val="a8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42B98" w:rsidRPr="00F42B98" w:rsidRDefault="00F42B98" w:rsidP="00F42B98">
      <w:pPr>
        <w:pStyle w:val="a8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t>Перечень показателей в области энергосбережения и повышения энергетической эффективности по отраслям экономики</w:t>
      </w:r>
    </w:p>
    <w:p w:rsidR="00F42B98" w:rsidRDefault="00F42B98" w:rsidP="00F42B98">
      <w:pPr>
        <w:rPr>
          <w:b/>
          <w:sz w:val="22"/>
          <w:szCs w:val="24"/>
        </w:rPr>
      </w:pPr>
    </w:p>
    <w:tbl>
      <w:tblPr>
        <w:tblW w:w="4942" w:type="pct"/>
        <w:jc w:val="center"/>
        <w:tblInd w:w="-11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6653"/>
        <w:gridCol w:w="841"/>
        <w:gridCol w:w="1121"/>
        <w:gridCol w:w="773"/>
        <w:gridCol w:w="677"/>
        <w:gridCol w:w="624"/>
        <w:gridCol w:w="742"/>
        <w:gridCol w:w="658"/>
        <w:gridCol w:w="612"/>
        <w:gridCol w:w="748"/>
        <w:gridCol w:w="1586"/>
      </w:tblGrid>
      <w:tr w:rsidR="00F42B98" w:rsidRPr="00F42B98" w:rsidTr="00F42B98">
        <w:trPr>
          <w:cantSplit/>
          <w:trHeight w:val="977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 xml:space="preserve">№ </w:t>
            </w:r>
            <w:proofErr w:type="gramStart"/>
            <w:r w:rsidRPr="00F42B98">
              <w:rPr>
                <w:bCs/>
                <w:color w:val="000000"/>
              </w:rPr>
              <w:t>п</w:t>
            </w:r>
            <w:proofErr w:type="gramEnd"/>
            <w:r w:rsidRPr="00F42B98">
              <w:rPr>
                <w:bCs/>
                <w:color w:val="000000"/>
              </w:rPr>
              <w:t>/п</w:t>
            </w:r>
          </w:p>
        </w:tc>
        <w:tc>
          <w:tcPr>
            <w:tcW w:w="2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15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Значение показателей на конец года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center"/>
              <w:rPr>
                <w:rFonts w:ascii="Times New Roman" w:hAnsi="Times New Roman"/>
                <w:color w:val="000080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Значение показателя на момент окончания действия муниципальной программы, 2030 год</w:t>
            </w:r>
          </w:p>
        </w:tc>
      </w:tr>
      <w:tr w:rsidR="00F42B98" w:rsidRPr="00F42B98" w:rsidTr="00F42B98">
        <w:trPr>
          <w:cantSplit/>
          <w:trHeight w:val="157"/>
          <w:tblHeader/>
          <w:jc w:val="center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rPr>
                <w:bCs/>
                <w:color w:val="000000"/>
              </w:rPr>
            </w:pPr>
          </w:p>
        </w:tc>
        <w:tc>
          <w:tcPr>
            <w:tcW w:w="2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rPr>
                <w:color w:val="00008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/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/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2019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2020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2021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2022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2023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2024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2025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rPr>
                <w:color w:val="000080"/>
              </w:rPr>
            </w:pPr>
          </w:p>
        </w:tc>
      </w:tr>
      <w:tr w:rsidR="00F42B98" w:rsidRPr="00F42B98" w:rsidTr="00F42B98">
        <w:trPr>
          <w:cantSplit/>
          <w:trHeight w:val="28"/>
          <w:tblHeader/>
          <w:jc w:val="center"/>
        </w:trPr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1</w:t>
            </w:r>
          </w:p>
        </w:tc>
        <w:tc>
          <w:tcPr>
            <w:tcW w:w="2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80"/>
              </w:rPr>
            </w:pPr>
            <w:r w:rsidRPr="00F42B98">
              <w:rPr>
                <w:color w:val="000080"/>
              </w:rPr>
              <w:t>2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bCs/>
                <w:color w:val="000000"/>
              </w:rPr>
            </w:pPr>
            <w:r w:rsidRPr="00F42B98">
              <w:rPr>
                <w:bCs/>
                <w:color w:val="000000"/>
              </w:rPr>
              <w:t>11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80"/>
              </w:rPr>
            </w:pPr>
            <w:r w:rsidRPr="00F42B98">
              <w:rPr>
                <w:color w:val="000080"/>
              </w:rPr>
              <w:t>12</w:t>
            </w:r>
          </w:p>
        </w:tc>
      </w:tr>
      <w:tr w:rsidR="00F42B98" w:rsidRPr="00F42B98" w:rsidTr="00F42B98">
        <w:trPr>
          <w:cantSplit/>
          <w:trHeight w:val="25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F42B98">
            <w:pPr>
              <w:numPr>
                <w:ilvl w:val="0"/>
                <w:numId w:val="9"/>
              </w:numPr>
              <w:jc w:val="center"/>
              <w:rPr>
                <w:color w:val="000080"/>
              </w:rPr>
            </w:pPr>
            <w:r w:rsidRPr="00F42B98">
              <w:rPr>
                <w:lang w:eastAsia="ru-RU"/>
              </w:rPr>
              <w:t>Общие показатели в области энергосбережения и повышения энергетической эффективности</w:t>
            </w:r>
          </w:p>
        </w:tc>
      </w:tr>
      <w:tr w:rsidR="00F42B98" w:rsidRPr="00F42B98" w:rsidTr="00F42B98">
        <w:trPr>
          <w:trHeight w:val="20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Доля объема электрической энергии, расчеты за которую осуществляются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2B98">
              <w:rPr>
                <w:rFonts w:ascii="Times New Roman" w:hAnsi="Times New Roman"/>
                <w:sz w:val="20"/>
                <w:szCs w:val="20"/>
              </w:rPr>
              <w:t xml:space="preserve">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ind w:right="-108"/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100,0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Доля объема тепловой энергии, расчеты за которую осуществляются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F42B98">
              <w:rPr>
                <w:rFonts w:ascii="Times New Roman" w:hAnsi="Times New Roman"/>
                <w:sz w:val="20"/>
                <w:szCs w:val="20"/>
              </w:rPr>
              <w:t xml:space="preserve">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85,0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86,5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86,7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87,5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88,0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89,0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90,0</w:t>
            </w:r>
          </w:p>
        </w:tc>
      </w:tr>
      <w:tr w:rsidR="00F42B98" w:rsidRPr="00F42B98" w:rsidTr="00F42B98">
        <w:trPr>
          <w:trHeight w:val="187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Доля объема холодной воды, расчеты за которую осуществляются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42B98">
              <w:rPr>
                <w:rFonts w:ascii="Times New Roman" w:hAnsi="Times New Roman"/>
                <w:sz w:val="20"/>
                <w:szCs w:val="20"/>
              </w:rPr>
              <w:t xml:space="preserve">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88,0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89,5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90,0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90,5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91,0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91,5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92,0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</w:pPr>
            <w:r w:rsidRPr="00F42B98">
              <w:t>93,0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 xml:space="preserve">Доля объема горячей воды, расчеты за которую осуществляются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F42B98">
              <w:rPr>
                <w:rFonts w:ascii="Times New Roman" w:hAnsi="Times New Roman"/>
                <w:sz w:val="20"/>
                <w:szCs w:val="20"/>
              </w:rPr>
              <w:t>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88,5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89,5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90,5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91,0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91,5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92,0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92,5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93,0</w:t>
            </w:r>
          </w:p>
        </w:tc>
      </w:tr>
      <w:tr w:rsidR="00F42B98" w:rsidRPr="00F42B98" w:rsidTr="00F42B98">
        <w:trPr>
          <w:trHeight w:val="35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2B98">
              <w:rPr>
                <w:rFonts w:ascii="Times New Roman" w:hAnsi="Times New Roman"/>
                <w:sz w:val="20"/>
                <w:szCs w:val="20"/>
              </w:rPr>
              <w:t>Доля объема природного газа, расчеты за который осуществляются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42B98">
              <w:rPr>
                <w:rFonts w:ascii="Times New Roman" w:hAnsi="Times New Roman"/>
                <w:sz w:val="20"/>
                <w:szCs w:val="20"/>
              </w:rPr>
              <w:t xml:space="preserve">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96,8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97,2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97,40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97,60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97,80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98,00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98,20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99,00</w:t>
            </w:r>
          </w:p>
        </w:tc>
      </w:tr>
      <w:tr w:rsidR="00F42B98" w:rsidRPr="00F42B98" w:rsidTr="00F42B98">
        <w:trPr>
          <w:trHeight w:val="419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 xml:space="preserve">на территории муниципального образования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272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ind w:left="360"/>
              <w:jc w:val="center"/>
              <w:rPr>
                <w:color w:val="000000"/>
              </w:rPr>
            </w:pPr>
            <w:r w:rsidRPr="00F42B98">
              <w:rPr>
                <w:rFonts w:eastAsia="Batang"/>
                <w:lang w:eastAsia="ko-KR"/>
              </w:rPr>
              <w:lastRenderedPageBreak/>
              <w:t>2. Показатели</w:t>
            </w:r>
            <w:r w:rsidRPr="00F42B98">
              <w:t xml:space="preserve"> </w:t>
            </w:r>
            <w:r w:rsidRPr="00F42B98">
              <w:rPr>
                <w:rFonts w:eastAsia="Batang"/>
                <w:lang w:eastAsia="ko-KR"/>
              </w:rPr>
              <w:t xml:space="preserve">в области энергосбережения и повышения энергетической эффективности  в муниципальном секторе: 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кВтч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кв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50,2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49,8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49,6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49,4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49,2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45,4</w:t>
            </w:r>
          </w:p>
        </w:tc>
      </w:tr>
      <w:tr w:rsidR="00F42B98" w:rsidRPr="00F42B98" w:rsidTr="00F42B98">
        <w:trPr>
          <w:trHeight w:val="112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Гкал/</w:t>
            </w:r>
            <w:proofErr w:type="spellStart"/>
            <w:r w:rsidRPr="00F42B98">
              <w:rPr>
                <w:color w:val="000000"/>
              </w:rPr>
              <w:t>кв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0,16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0,15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0,15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0,15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0,15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0,14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4,9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2,4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энергосервисных</w:t>
            </w:r>
            <w:proofErr w:type="spellEnd"/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pStyle w:val="a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>энергосервисных</w:t>
            </w:r>
            <w:proofErr w:type="spellEnd"/>
            <w:r w:rsidRPr="00F42B98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 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359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F42B98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F42B98">
              <w:rPr>
                <w:rFonts w:eastAsia="Batang"/>
                <w:lang w:eastAsia="ko-KR"/>
              </w:rPr>
              <w:t>Показатели в области энергосбережения и повышения энергетической эффективности в жилищном фонде:</w:t>
            </w:r>
          </w:p>
        </w:tc>
      </w:tr>
      <w:tr w:rsidR="00F42B98" w:rsidRPr="00F42B98" w:rsidTr="00F42B98">
        <w:trPr>
          <w:trHeight w:val="666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 xml:space="preserve">Удельный расход электрической энергии в многоквартирных домах </w:t>
            </w:r>
            <w:r>
              <w:rPr>
                <w:color w:val="000000"/>
              </w:rPr>
              <w:t xml:space="preserve">                    </w:t>
            </w:r>
            <w:r w:rsidRPr="00F42B98">
              <w:rPr>
                <w:color w:val="000000"/>
              </w:rPr>
              <w:t>(в расчете на 1 кв. метр общей площади)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кВтч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кв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35,0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Гкал/</w:t>
            </w:r>
            <w:proofErr w:type="spellStart"/>
            <w:r w:rsidRPr="00F42B98">
              <w:rPr>
                <w:color w:val="000000"/>
              </w:rPr>
              <w:t>кв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0,16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lastRenderedPageBreak/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24,2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14,6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67,0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67,0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т.у.т</w:t>
            </w:r>
            <w:proofErr w:type="spellEnd"/>
            <w:r w:rsidRPr="00F42B98">
              <w:rPr>
                <w:color w:val="000000"/>
              </w:rPr>
              <w:t>./</w:t>
            </w:r>
            <w:proofErr w:type="spellStart"/>
            <w:r w:rsidRPr="00F42B98">
              <w:rPr>
                <w:color w:val="000000"/>
              </w:rPr>
              <w:t>кв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0,02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 xml:space="preserve">Удельный расход природного газа в многоквартирных домах </w:t>
            </w:r>
            <w:r>
              <w:rPr>
                <w:color w:val="000000"/>
              </w:rPr>
              <w:t xml:space="preserve">                                </w:t>
            </w:r>
            <w:r w:rsidRPr="00F42B98">
              <w:rPr>
                <w:color w:val="000000"/>
              </w:rPr>
              <w:t>с индивидуальными системами газового отопления (в расчете на 1 жителя)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  <w:r w:rsidRPr="00F42B98">
              <w:rPr>
                <w:color w:val="000000"/>
              </w:rPr>
              <w:t>/чел.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326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F42B98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F42B98">
              <w:rPr>
                <w:rFonts w:eastAsia="Batang"/>
                <w:lang w:eastAsia="ko-KR"/>
              </w:rPr>
              <w:t>Показатели в области энергосбережения и повышения энергетической эффективности в системах коммунальной инфраструктуры:</w:t>
            </w:r>
          </w:p>
        </w:tc>
      </w:tr>
      <w:tr w:rsidR="00F42B98" w:rsidRPr="00F42B98" w:rsidTr="00F42B98">
        <w:trPr>
          <w:trHeight w:val="45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тыскуб.м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тыс</w:t>
            </w:r>
            <w:proofErr w:type="gramStart"/>
            <w:r w:rsidRPr="00F42B98">
              <w:rPr>
                <w:color w:val="000000"/>
              </w:rPr>
              <w:t>.Г</w:t>
            </w:r>
            <w:proofErr w:type="gramEnd"/>
            <w:r w:rsidRPr="00F42B98">
              <w:rPr>
                <w:color w:val="000000"/>
              </w:rPr>
              <w:t>кал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0,2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кВтч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тыс</w:t>
            </w:r>
            <w:proofErr w:type="gramStart"/>
            <w:r w:rsidRPr="00F42B98">
              <w:rPr>
                <w:color w:val="000000"/>
              </w:rPr>
              <w:t>.Г</w:t>
            </w:r>
            <w:proofErr w:type="gramEnd"/>
            <w:r w:rsidRPr="00F42B98">
              <w:rPr>
                <w:color w:val="000000"/>
              </w:rPr>
              <w:t>кал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33,1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t>33,1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28,6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28,0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38,1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38,0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37,8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37,6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37,4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37,2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37,0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37,0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кВтч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0,89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кВтч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куб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0,97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7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кВтч</w:t>
            </w:r>
            <w:proofErr w:type="spellEnd"/>
            <w:r w:rsidRPr="00F42B98">
              <w:rPr>
                <w:color w:val="000000"/>
              </w:rPr>
              <w:t>/</w:t>
            </w:r>
            <w:proofErr w:type="spellStart"/>
            <w:r w:rsidRPr="00F42B98">
              <w:rPr>
                <w:color w:val="000000"/>
              </w:rPr>
              <w:t>кв</w:t>
            </w:r>
            <w:proofErr w:type="gramStart"/>
            <w:r w:rsidRPr="00F42B98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</w:pPr>
            <w:r w:rsidRPr="00F42B98">
              <w:rPr>
                <w:color w:val="000000"/>
              </w:rPr>
              <w:t>2,8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lastRenderedPageBreak/>
              <w:t>8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proofErr w:type="spellStart"/>
            <w:r w:rsidRPr="00F42B98">
              <w:rPr>
                <w:color w:val="000000"/>
              </w:rPr>
              <w:t>т.у.т</w:t>
            </w:r>
            <w:proofErr w:type="spellEnd"/>
            <w:r w:rsidRPr="00F42B98">
              <w:rPr>
                <w:color w:val="000000"/>
              </w:rPr>
              <w:t>./</w:t>
            </w:r>
            <w:proofErr w:type="spellStart"/>
            <w:r w:rsidRPr="00F42B98">
              <w:rPr>
                <w:color w:val="000000"/>
              </w:rPr>
              <w:t>тыс</w:t>
            </w:r>
            <w:proofErr w:type="gramStart"/>
            <w:r w:rsidRPr="00F42B98">
              <w:rPr>
                <w:color w:val="000000"/>
              </w:rPr>
              <w:t>.М</w:t>
            </w:r>
            <w:proofErr w:type="gramEnd"/>
            <w:r w:rsidRPr="00F42B98">
              <w:rPr>
                <w:color w:val="000000"/>
              </w:rPr>
              <w:t>Втч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250"/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F42B98">
            <w:pPr>
              <w:numPr>
                <w:ilvl w:val="0"/>
                <w:numId w:val="10"/>
              </w:numPr>
              <w:jc w:val="center"/>
              <w:rPr>
                <w:color w:val="000000"/>
              </w:rPr>
            </w:pPr>
            <w:r w:rsidRPr="00F42B98">
              <w:rPr>
                <w:rFonts w:eastAsia="Batang"/>
                <w:lang w:eastAsia="ko-KR"/>
              </w:rPr>
              <w:t>Показатели в области энергосбережения и повышения энергетической эффективности в транспортном комплексе:</w:t>
            </w:r>
          </w:p>
        </w:tc>
      </w:tr>
      <w:tr w:rsidR="00F42B98" w:rsidRPr="00F42B98" w:rsidTr="00F42B98">
        <w:trPr>
          <w:trHeight w:val="505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Количество высокоэкономичных по использованию моторного топлива</w:t>
            </w:r>
            <w:r>
              <w:rPr>
                <w:color w:val="000000"/>
              </w:rPr>
              <w:t xml:space="preserve">             </w:t>
            </w:r>
            <w:r w:rsidRPr="00F42B98">
              <w:rPr>
                <w:color w:val="000000"/>
              </w:rPr>
              <w:t xml:space="preserve">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</w:t>
            </w:r>
            <w:r>
              <w:rPr>
                <w:color w:val="000000"/>
              </w:rPr>
              <w:t xml:space="preserve">                      </w:t>
            </w:r>
            <w:r w:rsidRPr="00F42B98">
              <w:rPr>
                <w:color w:val="000000"/>
              </w:rPr>
              <w:t>на услуги по перевозке на котором осуществляется муниципальным образованием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2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proofErr w:type="gramStart"/>
            <w:r w:rsidRPr="00F42B98">
              <w:rPr>
                <w:color w:val="00000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</w:t>
            </w:r>
            <w:r>
              <w:rPr>
                <w:color w:val="000000"/>
              </w:rPr>
              <w:t xml:space="preserve">                     </w:t>
            </w:r>
            <w:r w:rsidRPr="00F42B98">
              <w:rPr>
                <w:color w:val="000000"/>
              </w:rPr>
              <w:t xml:space="preserve">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</w:t>
            </w:r>
            <w:r>
              <w:rPr>
                <w:color w:val="000000"/>
              </w:rPr>
              <w:t xml:space="preserve">               </w:t>
            </w:r>
            <w:r w:rsidRPr="00F42B98">
              <w:rPr>
                <w:color w:val="000000"/>
              </w:rPr>
              <w:t>и электрической энергией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419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3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количество транспортных средств </w:t>
            </w:r>
            <w:r>
              <w:rPr>
                <w:color w:val="000000"/>
              </w:rPr>
              <w:t xml:space="preserve">                     </w:t>
            </w:r>
            <w:r w:rsidRPr="00F42B98">
              <w:rPr>
                <w:color w:val="000000"/>
              </w:rPr>
              <w:t xml:space="preserve">с автономным источником электрического питания, относящихся </w:t>
            </w:r>
            <w:r>
              <w:rPr>
                <w:color w:val="000000"/>
              </w:rPr>
              <w:t xml:space="preserve">                         </w:t>
            </w:r>
            <w:r w:rsidRPr="00F42B98">
              <w:rPr>
                <w:color w:val="000000"/>
              </w:rPr>
              <w:t>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23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4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</w:tr>
      <w:tr w:rsidR="00F42B98" w:rsidRPr="00F42B98" w:rsidTr="00F42B98">
        <w:trPr>
          <w:trHeight w:val="646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lastRenderedPageBreak/>
              <w:t>5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proofErr w:type="gramStart"/>
            <w:r w:rsidRPr="00F42B98">
              <w:rPr>
                <w:color w:val="00000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1,0</w:t>
            </w:r>
          </w:p>
        </w:tc>
      </w:tr>
      <w:tr w:rsidR="00F42B98" w:rsidRPr="00F42B98" w:rsidTr="00F42B98">
        <w:trPr>
          <w:trHeight w:val="419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6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both"/>
              <w:rPr>
                <w:color w:val="000000"/>
              </w:rPr>
            </w:pPr>
            <w:r w:rsidRPr="00F42B98">
              <w:rPr>
                <w:color w:val="00000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ед.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98" w:rsidRPr="00F42B98" w:rsidRDefault="00F42B98" w:rsidP="007E51D1">
            <w:pPr>
              <w:jc w:val="center"/>
              <w:rPr>
                <w:color w:val="000000"/>
              </w:rPr>
            </w:pPr>
            <w:r w:rsidRPr="00F42B98">
              <w:rPr>
                <w:color w:val="000000"/>
              </w:rPr>
              <w:t>1,0</w:t>
            </w:r>
          </w:p>
        </w:tc>
      </w:tr>
      <w:tr w:rsidR="00F42B98" w:rsidRPr="00F42B98" w:rsidTr="00F42B98">
        <w:trPr>
          <w:trHeight w:val="2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2B98" w:rsidRPr="00F42B98" w:rsidRDefault="00F42B98" w:rsidP="007E51D1">
            <w:pPr>
              <w:pStyle w:val="21"/>
              <w:ind w:left="-567"/>
              <w:rPr>
                <w:rFonts w:eastAsia="Calibri"/>
                <w:b w:val="0"/>
                <w:sz w:val="20"/>
                <w:lang w:eastAsia="en-US"/>
              </w:rPr>
            </w:pPr>
            <w:r w:rsidRPr="00F42B98">
              <w:rPr>
                <w:rFonts w:eastAsia="Calibri"/>
                <w:b w:val="0"/>
                <w:caps/>
                <w:sz w:val="20"/>
                <w:lang w:eastAsia="en-US"/>
              </w:rPr>
              <w:t>В г</w:t>
            </w:r>
          </w:p>
        </w:tc>
      </w:tr>
    </w:tbl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p w:rsidR="00F42B98" w:rsidRPr="00F42B98" w:rsidRDefault="00F42B98" w:rsidP="00F42B98">
      <w:pPr>
        <w:pStyle w:val="a8"/>
        <w:ind w:firstLine="708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lastRenderedPageBreak/>
        <w:t>Приложение 2</w:t>
      </w: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br/>
        <w:t>к муниципальной программе города Югорска</w:t>
      </w: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br/>
        <w:t xml:space="preserve">«Развитие жилищно-коммунального комплекса и повышение </w:t>
      </w: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br/>
        <w:t xml:space="preserve">энергетической эффективности» </w:t>
      </w:r>
    </w:p>
    <w:p w:rsidR="00F42B98" w:rsidRPr="00F42B98" w:rsidRDefault="00F42B98" w:rsidP="00F42B98">
      <w:pPr>
        <w:pStyle w:val="a8"/>
        <w:jc w:val="right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F42B98" w:rsidRPr="00F42B98" w:rsidRDefault="00F42B98" w:rsidP="00F42B98">
      <w:pPr>
        <w:pStyle w:val="a8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t>Показатели эффективности мер, осуществляемых органами местного самоуправления города Югорска, по привлечению частных инвестиций в жилищно-коммунальный компле</w:t>
      </w:r>
      <w:proofErr w:type="gramStart"/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t>кс в сф</w:t>
      </w:r>
      <w:proofErr w:type="gramEnd"/>
      <w:r w:rsidRPr="00F42B98">
        <w:rPr>
          <w:rFonts w:ascii="Times New Roman" w:eastAsia="Batang" w:hAnsi="Times New Roman"/>
          <w:b/>
          <w:sz w:val="24"/>
          <w:szCs w:val="24"/>
          <w:lang w:eastAsia="ko-KR"/>
        </w:rPr>
        <w:t>ерах теплоснабжения, водоснабжения и водоотведения</w:t>
      </w:r>
    </w:p>
    <w:p w:rsidR="00F42B98" w:rsidRPr="003E7150" w:rsidRDefault="00F42B98" w:rsidP="00F42B98">
      <w:pPr>
        <w:pStyle w:val="a8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055"/>
        <w:gridCol w:w="694"/>
        <w:gridCol w:w="3342"/>
        <w:gridCol w:w="1281"/>
        <w:gridCol w:w="660"/>
        <w:gridCol w:w="707"/>
        <w:gridCol w:w="691"/>
        <w:gridCol w:w="694"/>
        <w:gridCol w:w="691"/>
        <w:gridCol w:w="742"/>
        <w:gridCol w:w="688"/>
        <w:gridCol w:w="745"/>
        <w:gridCol w:w="1265"/>
      </w:tblGrid>
      <w:tr w:rsidR="00F42B98" w:rsidRPr="00F42B98" w:rsidTr="00F42B98">
        <w:trPr>
          <w:trHeight w:val="885"/>
          <w:tblHeader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F42B98">
              <w:rPr>
                <w:bCs/>
                <w:color w:val="000000"/>
                <w:lang w:eastAsia="ru-RU"/>
              </w:rPr>
              <w:t>п</w:t>
            </w:r>
            <w:proofErr w:type="gramEnd"/>
            <w:r w:rsidRPr="00F42B98">
              <w:rPr>
                <w:bCs/>
                <w:color w:val="000000"/>
                <w:lang w:eastAsia="ru-RU"/>
              </w:rPr>
              <w:t>/п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Методика расчета показателя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80" w:type="pct"/>
            <w:gridSpan w:val="8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F42B98" w:rsidRPr="00F42B98" w:rsidTr="00F42B98">
        <w:trPr>
          <w:trHeight w:val="70"/>
          <w:tblHeader/>
        </w:trPr>
        <w:tc>
          <w:tcPr>
            <w:tcW w:w="166" w:type="pct"/>
            <w:vMerge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059" w:type="pct"/>
            <w:vMerge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2019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2020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2022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2025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2026-2030</w:t>
            </w:r>
          </w:p>
        </w:tc>
        <w:tc>
          <w:tcPr>
            <w:tcW w:w="401" w:type="pct"/>
            <w:vMerge/>
            <w:vAlign w:val="center"/>
            <w:hideMark/>
          </w:tcPr>
          <w:p w:rsidR="00F42B98" w:rsidRPr="00F42B98" w:rsidRDefault="00F42B98" w:rsidP="00F42B98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</w:tr>
      <w:tr w:rsidR="00F42B98" w:rsidRPr="00F42B98" w:rsidTr="00F42B98">
        <w:trPr>
          <w:trHeight w:val="211"/>
          <w:tblHeader/>
        </w:trPr>
        <w:tc>
          <w:tcPr>
            <w:tcW w:w="166" w:type="pct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968" w:type="pct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20" w:type="pct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1059" w:type="pct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06" w:type="pct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401" w:type="pct"/>
            <w:vAlign w:val="center"/>
          </w:tcPr>
          <w:p w:rsidR="00F42B98" w:rsidRPr="00F42B98" w:rsidRDefault="00F42B98" w:rsidP="00F42B9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F42B98">
              <w:rPr>
                <w:bCs/>
                <w:color w:val="000000"/>
                <w:lang w:eastAsia="ru-RU"/>
              </w:rPr>
              <w:t>14</w:t>
            </w:r>
          </w:p>
        </w:tc>
      </w:tr>
      <w:tr w:rsidR="00F42B98" w:rsidRPr="00F42B98" w:rsidTr="00F42B98">
        <w:trPr>
          <w:trHeight w:val="923"/>
        </w:trPr>
        <w:tc>
          <w:tcPr>
            <w:tcW w:w="16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1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Объем вложений частных инвесторов на развитие жилищно-коммунального комплекса муниципального образования на 10 тыс. населения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 xml:space="preserve">Отношение объема вложений частных инвесторов на развитие жилищно-коммунального комплекса муниципального образования (тыс. руб.) </w:t>
            </w:r>
            <w:r>
              <w:rPr>
                <w:color w:val="000000"/>
                <w:lang w:eastAsia="ru-RU"/>
              </w:rPr>
              <w:t xml:space="preserve">                           </w:t>
            </w:r>
            <w:r w:rsidRPr="00F42B98">
              <w:rPr>
                <w:color w:val="000000"/>
                <w:lang w:eastAsia="ru-RU"/>
              </w:rPr>
              <w:t>к численности населения муниципального образования (тыс. чел.), умноженное на 10 (тыс. чел.)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</w:tr>
      <w:tr w:rsidR="00F42B98" w:rsidRPr="00F42B98" w:rsidTr="00F42B98">
        <w:trPr>
          <w:trHeight w:val="1571"/>
        </w:trPr>
        <w:tc>
          <w:tcPr>
            <w:tcW w:w="16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2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Объем средств местного бюджета или предоставление муниципальных гарантий</w:t>
            </w:r>
            <w:r>
              <w:rPr>
                <w:color w:val="000000"/>
                <w:lang w:eastAsia="ru-RU"/>
              </w:rPr>
              <w:t xml:space="preserve">                   </w:t>
            </w:r>
            <w:r w:rsidRPr="00F42B98">
              <w:rPr>
                <w:color w:val="000000"/>
                <w:lang w:eastAsia="ru-RU"/>
              </w:rPr>
              <w:t xml:space="preserve"> в финансировании инвестиционной программы организации, оказывающей услуги по водоснабжению, водоотведению на территории муниципального образования на 10 тыс. населения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Отношение объема средств местного бюджета и (или)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(тыс. руб.) к 10 (тыс. чел.)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</w:tr>
      <w:tr w:rsidR="00F42B98" w:rsidRPr="00F42B98" w:rsidTr="00F42B98">
        <w:trPr>
          <w:trHeight w:val="70"/>
        </w:trPr>
        <w:tc>
          <w:tcPr>
            <w:tcW w:w="16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 на 10 тыс. населения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тыс. руб. / 10 тыс. чел.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 xml:space="preserve">Отношение объема средств местного бюджета и (или) предоставление муниципальных гарантий в финансировании инвестиционной программы организации, оказывающей услуги по теплоснабжению на территории </w:t>
            </w:r>
            <w:r w:rsidRPr="00F42B98">
              <w:rPr>
                <w:color w:val="000000"/>
                <w:lang w:eastAsia="ru-RU"/>
              </w:rPr>
              <w:lastRenderedPageBreak/>
              <w:t>муниципального образования</w:t>
            </w:r>
            <w:r>
              <w:rPr>
                <w:color w:val="000000"/>
                <w:lang w:eastAsia="ru-RU"/>
              </w:rPr>
              <w:t xml:space="preserve">             </w:t>
            </w:r>
            <w:r w:rsidRPr="00F42B98">
              <w:rPr>
                <w:color w:val="000000"/>
                <w:lang w:eastAsia="ru-RU"/>
              </w:rPr>
              <w:t xml:space="preserve"> (тыс. руб.) к 10 (тыс. чел.)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lastRenderedPageBreak/>
              <w:t>&lt;-&gt;*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</w:tr>
      <w:tr w:rsidR="00F42B98" w:rsidRPr="00F42B98" w:rsidTr="00F42B98">
        <w:trPr>
          <w:trHeight w:val="70"/>
        </w:trPr>
        <w:tc>
          <w:tcPr>
            <w:tcW w:w="16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Доля заемных средств в общем объеме капитальных вложений</w:t>
            </w:r>
            <w:r>
              <w:rPr>
                <w:color w:val="000000"/>
                <w:lang w:eastAsia="ru-RU"/>
              </w:rPr>
              <w:t xml:space="preserve">           </w:t>
            </w:r>
            <w:r w:rsidRPr="00F42B98">
              <w:rPr>
                <w:color w:val="000000"/>
                <w:lang w:eastAsia="ru-RU"/>
              </w:rPr>
              <w:t>в системы тепло-, водоснабжения и водоотведения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%</w:t>
            </w:r>
          </w:p>
        </w:tc>
        <w:tc>
          <w:tcPr>
            <w:tcW w:w="105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 xml:space="preserve">Приказ Минстроя России </w:t>
            </w:r>
            <w:r>
              <w:rPr>
                <w:color w:val="000000"/>
                <w:lang w:eastAsia="ru-RU"/>
              </w:rPr>
              <w:t xml:space="preserve">                       </w:t>
            </w:r>
            <w:r w:rsidRPr="00F42B98">
              <w:rPr>
                <w:color w:val="000000"/>
                <w:lang w:eastAsia="ru-RU"/>
              </w:rPr>
              <w:t>от 20.02.2016 № 103/</w:t>
            </w:r>
            <w:proofErr w:type="spellStart"/>
            <w:proofErr w:type="gramStart"/>
            <w:r w:rsidRPr="00F42B98">
              <w:rPr>
                <w:color w:val="000000"/>
                <w:lang w:eastAsia="ru-RU"/>
              </w:rPr>
              <w:t>пр</w:t>
            </w:r>
            <w:proofErr w:type="spellEnd"/>
            <w:proofErr w:type="gramEnd"/>
            <w:r w:rsidRPr="00F42B9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                        «</w:t>
            </w:r>
            <w:r w:rsidRPr="00F42B98">
              <w:rPr>
                <w:color w:val="000000"/>
                <w:lang w:eastAsia="ru-RU"/>
              </w:rPr>
              <w:t xml:space="preserve">Об утверждении методических рекомендаций по расчету доли собственных, заемных </w:t>
            </w:r>
            <w:r>
              <w:rPr>
                <w:color w:val="000000"/>
                <w:lang w:eastAsia="ru-RU"/>
              </w:rPr>
              <w:t xml:space="preserve">                         </w:t>
            </w:r>
            <w:r w:rsidRPr="00F42B98">
              <w:rPr>
                <w:color w:val="000000"/>
                <w:lang w:eastAsia="ru-RU"/>
              </w:rPr>
              <w:t>и бюджетных средств в общем объеме капитальных вложений организаций, осуществляющих регулируемые виды деятельности</w:t>
            </w:r>
            <w:r>
              <w:rPr>
                <w:color w:val="000000"/>
                <w:lang w:eastAsia="ru-RU"/>
              </w:rPr>
              <w:t xml:space="preserve">             </w:t>
            </w:r>
            <w:r w:rsidRPr="00F42B98">
              <w:rPr>
                <w:color w:val="000000"/>
                <w:lang w:eastAsia="ru-RU"/>
              </w:rPr>
              <w:t xml:space="preserve"> в сфере теплоснабжения, водоснабжения, водоотведения </w:t>
            </w:r>
            <w:r>
              <w:rPr>
                <w:color w:val="000000"/>
                <w:lang w:eastAsia="ru-RU"/>
              </w:rPr>
              <w:t xml:space="preserve">                  и очистки сточных вод»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</w:tr>
      <w:tr w:rsidR="00F42B98" w:rsidRPr="00F42B98" w:rsidTr="00F42B98">
        <w:trPr>
          <w:trHeight w:val="70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5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Удельный вес утвержденных инвестиционных программ</w:t>
            </w:r>
            <w:r>
              <w:rPr>
                <w:color w:val="000000"/>
                <w:lang w:eastAsia="ru-RU"/>
              </w:rPr>
              <w:t xml:space="preserve">                 </w:t>
            </w:r>
            <w:r w:rsidRPr="00F42B98">
              <w:rPr>
                <w:color w:val="000000"/>
                <w:lang w:eastAsia="ru-RU"/>
              </w:rPr>
              <w:t xml:space="preserve"> в сферах тепло-, водоснабжения и водоотведения к общему количеству тарифных решений таких организаций </w:t>
            </w:r>
            <w:r>
              <w:rPr>
                <w:color w:val="000000"/>
                <w:lang w:eastAsia="ru-RU"/>
              </w:rPr>
              <w:t xml:space="preserve">                           </w:t>
            </w:r>
            <w:r w:rsidRPr="00F42B98">
              <w:rPr>
                <w:color w:val="000000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%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 xml:space="preserve">Отношение количества утвержденных инвестиционных программ организаций, осуществляющих регулируемые виды деятельности в сферах тепло-, водоснабжения и водоотведения, являющихся основными поставщиками коммунальных ресурсов, утвержденных </w:t>
            </w:r>
            <w:r>
              <w:rPr>
                <w:color w:val="000000"/>
                <w:lang w:eastAsia="ru-RU"/>
              </w:rPr>
              <w:t xml:space="preserve">                         </w:t>
            </w:r>
            <w:r w:rsidRPr="00F42B98">
              <w:rPr>
                <w:color w:val="000000"/>
                <w:lang w:eastAsia="ru-RU"/>
              </w:rPr>
              <w:t>в установленном порядке, к общему количеству тарифных решений таких организаций на территории муниципального образования, умноженное на 100%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2B98" w:rsidRPr="00F42B98" w:rsidRDefault="00F42B98" w:rsidP="00F42B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42B98">
              <w:rPr>
                <w:color w:val="000000"/>
                <w:lang w:eastAsia="ru-RU"/>
              </w:rPr>
              <w:t>&lt;-&gt;*</w:t>
            </w:r>
          </w:p>
        </w:tc>
      </w:tr>
      <w:tr w:rsidR="00F42B98" w:rsidRPr="00F42B98" w:rsidTr="00F42B98">
        <w:trPr>
          <w:trHeight w:val="300"/>
        </w:trPr>
        <w:tc>
          <w:tcPr>
            <w:tcW w:w="5000" w:type="pct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2B98" w:rsidRPr="00F42B98" w:rsidRDefault="00F42B98" w:rsidP="00F42B9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F42B98" w:rsidRPr="00F42B98" w:rsidRDefault="00F42B98" w:rsidP="00F42B98">
            <w:pPr>
              <w:suppressAutoHyphens w:val="0"/>
              <w:ind w:firstLine="709"/>
              <w:rPr>
                <w:color w:val="000000"/>
                <w:sz w:val="24"/>
                <w:szCs w:val="24"/>
                <w:lang w:eastAsia="ru-RU"/>
              </w:rPr>
            </w:pPr>
            <w:r w:rsidRPr="00F42B98">
              <w:rPr>
                <w:color w:val="000000"/>
                <w:sz w:val="24"/>
                <w:szCs w:val="24"/>
                <w:lang w:eastAsia="ru-RU"/>
              </w:rPr>
              <w:t>&lt;-&gt;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2B98">
              <w:rPr>
                <w:color w:val="000000"/>
                <w:sz w:val="24"/>
                <w:szCs w:val="24"/>
                <w:lang w:eastAsia="ru-RU"/>
              </w:rPr>
              <w:t>- значение показателей будет определено после утверждения инвестиционных программ в сферах тепло-, водоснабжения и водоотведения</w:t>
            </w:r>
          </w:p>
        </w:tc>
      </w:tr>
    </w:tbl>
    <w:p w:rsidR="00F42B98" w:rsidRPr="00F42B98" w:rsidRDefault="00F42B98" w:rsidP="00F42B98">
      <w:pPr>
        <w:ind w:firstLine="709"/>
        <w:jc w:val="center"/>
        <w:rPr>
          <w:b/>
          <w:sz w:val="22"/>
          <w:szCs w:val="24"/>
        </w:rPr>
      </w:pPr>
    </w:p>
    <w:sectPr w:rsidR="00F42B98" w:rsidRPr="00F42B98" w:rsidSect="00F42B9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6139"/>
    <w:rsid w:val="0053339B"/>
    <w:rsid w:val="00555867"/>
    <w:rsid w:val="005F6CCF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02C41"/>
    <w:rsid w:val="00E864FB"/>
    <w:rsid w:val="00E91200"/>
    <w:rsid w:val="00EC794D"/>
    <w:rsid w:val="00ED117A"/>
    <w:rsid w:val="00EF19B1"/>
    <w:rsid w:val="00F33869"/>
    <w:rsid w:val="00F42B98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5F6CCF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uiPriority w:val="1"/>
    <w:locked/>
    <w:rsid w:val="005F6CCF"/>
    <w:rPr>
      <w:rFonts w:eastAsia="Times New Roman"/>
    </w:rPr>
  </w:style>
  <w:style w:type="paragraph" w:customStyle="1" w:styleId="21">
    <w:name w:val="Основной текст 21"/>
    <w:basedOn w:val="a"/>
    <w:rsid w:val="00F42B98"/>
    <w:pPr>
      <w:ind w:right="4944"/>
      <w:jc w:val="both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90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10908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36</Pages>
  <Words>13223</Words>
  <Characters>75372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2018-11-02T10:46:00Z</dcterms:modified>
</cp:coreProperties>
</file>