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F4" w:rsidRDefault="001847F4" w:rsidP="001847F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Serif" w:hAnsi="PT Serif"/>
          <w:b/>
          <w:sz w:val="24"/>
        </w:rPr>
        <w:t>Югорск</w:t>
      </w:r>
      <w:proofErr w:type="spellEnd"/>
    </w:p>
    <w:p w:rsidR="001847F4" w:rsidRDefault="001847F4" w:rsidP="001847F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</w:rPr>
        <w:t>Югорска</w:t>
      </w:r>
      <w:proofErr w:type="spellEnd"/>
    </w:p>
    <w:p w:rsidR="001847F4" w:rsidRDefault="001847F4" w:rsidP="001847F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1847F4" w:rsidRDefault="001847F4" w:rsidP="001847F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1847F4" w:rsidRDefault="001847F4" w:rsidP="001847F4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     № 0187300005819000078-3</w:t>
      </w:r>
    </w:p>
    <w:p w:rsidR="00721C89" w:rsidRPr="00721C89" w:rsidRDefault="00721C89" w:rsidP="00721C8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ПРИСУТСТВОВАЛИ: </w:t>
      </w:r>
    </w:p>
    <w:p w:rsidR="00721C89" w:rsidRPr="00721C89" w:rsidRDefault="00721C89" w:rsidP="00721C8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21C89">
        <w:rPr>
          <w:rFonts w:ascii="PT Serif" w:hAnsi="PT Serif"/>
        </w:rPr>
        <w:t>Югорска</w:t>
      </w:r>
      <w:proofErr w:type="spellEnd"/>
      <w:r w:rsidRPr="00721C89">
        <w:rPr>
          <w:rFonts w:ascii="PT Serif" w:hAnsi="PT Serif"/>
        </w:rPr>
        <w:t xml:space="preserve"> (далее - комиссия) в следующем  составе:</w:t>
      </w:r>
    </w:p>
    <w:p w:rsidR="00721C89" w:rsidRPr="00721C89" w:rsidRDefault="00721C89" w:rsidP="00721C8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В.К. </w:t>
      </w:r>
      <w:proofErr w:type="spellStart"/>
      <w:r w:rsidRPr="00721C89">
        <w:rPr>
          <w:rFonts w:ascii="PT Serif" w:hAnsi="PT Serif"/>
        </w:rPr>
        <w:t>Бандурин</w:t>
      </w:r>
      <w:proofErr w:type="spellEnd"/>
      <w:r w:rsidRPr="00721C89"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21C89">
        <w:rPr>
          <w:rFonts w:ascii="PT Serif" w:hAnsi="PT Serif"/>
        </w:rPr>
        <w:t>жилищно</w:t>
      </w:r>
      <w:proofErr w:type="spellEnd"/>
      <w:r w:rsidRPr="00721C89"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 w:rsidRPr="00721C89">
        <w:rPr>
          <w:rFonts w:ascii="PT Serif" w:hAnsi="PT Serif"/>
        </w:rPr>
        <w:t>Югорска</w:t>
      </w:r>
      <w:proofErr w:type="spellEnd"/>
      <w:r w:rsidRPr="00721C89">
        <w:rPr>
          <w:rFonts w:ascii="PT Serif" w:hAnsi="PT Serif"/>
        </w:rPr>
        <w:t>;</w:t>
      </w:r>
    </w:p>
    <w:p w:rsidR="00721C89" w:rsidRPr="00721C89" w:rsidRDefault="00721C89" w:rsidP="00721C8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>Члены комиссии:</w:t>
      </w:r>
    </w:p>
    <w:p w:rsidR="00721C89" w:rsidRPr="00721C89" w:rsidRDefault="00721C89" w:rsidP="00721C8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В. А. </w:t>
      </w:r>
      <w:proofErr w:type="spellStart"/>
      <w:r w:rsidRPr="00721C89">
        <w:rPr>
          <w:rFonts w:ascii="PT Serif" w:hAnsi="PT Serif"/>
        </w:rPr>
        <w:t>Климин</w:t>
      </w:r>
      <w:proofErr w:type="spellEnd"/>
      <w:r w:rsidRPr="00721C89">
        <w:rPr>
          <w:rFonts w:ascii="PT Serif" w:hAnsi="PT Serif"/>
        </w:rPr>
        <w:t xml:space="preserve"> – председатель Думы города </w:t>
      </w:r>
      <w:proofErr w:type="spellStart"/>
      <w:r w:rsidRPr="00721C89">
        <w:rPr>
          <w:rFonts w:ascii="PT Serif" w:hAnsi="PT Serif"/>
        </w:rPr>
        <w:t>Югорска</w:t>
      </w:r>
      <w:proofErr w:type="spellEnd"/>
      <w:proofErr w:type="gramStart"/>
      <w:r w:rsidRPr="00721C89">
        <w:rPr>
          <w:rFonts w:ascii="PT Serif" w:hAnsi="PT Serif"/>
        </w:rPr>
        <w:t>;;</w:t>
      </w:r>
      <w:proofErr w:type="gramEnd"/>
    </w:p>
    <w:p w:rsidR="00721C89" w:rsidRPr="00721C89" w:rsidRDefault="00721C89" w:rsidP="00721C8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>Н.А. Морозова – советник руководителя;</w:t>
      </w:r>
    </w:p>
    <w:p w:rsidR="00721C89" w:rsidRPr="00721C89" w:rsidRDefault="00721C89" w:rsidP="00721C8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Т.И. </w:t>
      </w:r>
      <w:proofErr w:type="spellStart"/>
      <w:r w:rsidRPr="00721C89">
        <w:rPr>
          <w:rFonts w:ascii="PT Serif" w:hAnsi="PT Serif"/>
        </w:rPr>
        <w:t>Долгодворова</w:t>
      </w:r>
      <w:proofErr w:type="spellEnd"/>
      <w:r w:rsidRPr="00721C89">
        <w:rPr>
          <w:rFonts w:ascii="PT Serif" w:hAnsi="PT Serif"/>
        </w:rPr>
        <w:t xml:space="preserve"> – заместитель главы города </w:t>
      </w:r>
      <w:proofErr w:type="spellStart"/>
      <w:r w:rsidRPr="00721C89">
        <w:rPr>
          <w:rFonts w:ascii="PT Serif" w:hAnsi="PT Serif"/>
        </w:rPr>
        <w:t>Югорска</w:t>
      </w:r>
      <w:proofErr w:type="spellEnd"/>
      <w:r w:rsidRPr="00721C89">
        <w:rPr>
          <w:rFonts w:ascii="PT Serif" w:hAnsi="PT Serif"/>
        </w:rPr>
        <w:t>;</w:t>
      </w:r>
    </w:p>
    <w:p w:rsidR="00721C89" w:rsidRPr="00721C89" w:rsidRDefault="00721C89" w:rsidP="00721C8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Ж.В. </w:t>
      </w:r>
      <w:proofErr w:type="spellStart"/>
      <w:r w:rsidRPr="00721C89">
        <w:rPr>
          <w:rFonts w:ascii="PT Serif" w:hAnsi="PT Serif"/>
        </w:rPr>
        <w:t>Резинкина</w:t>
      </w:r>
      <w:proofErr w:type="spellEnd"/>
      <w:r w:rsidRPr="00721C89"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21C89">
        <w:rPr>
          <w:rFonts w:ascii="PT Serif" w:hAnsi="PT Serif"/>
        </w:rPr>
        <w:t>Югорска</w:t>
      </w:r>
      <w:proofErr w:type="spellEnd"/>
      <w:r w:rsidRPr="00721C89">
        <w:rPr>
          <w:rFonts w:ascii="PT Serif" w:hAnsi="PT Serif"/>
        </w:rPr>
        <w:t>;</w:t>
      </w:r>
    </w:p>
    <w:p w:rsidR="00721C89" w:rsidRPr="00721C89" w:rsidRDefault="00721C89" w:rsidP="00721C8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21C89">
        <w:rPr>
          <w:rFonts w:ascii="PT Serif" w:hAnsi="PT Serif"/>
        </w:rPr>
        <w:t>Югорска</w:t>
      </w:r>
      <w:proofErr w:type="spellEnd"/>
      <w:r w:rsidRPr="00721C89">
        <w:rPr>
          <w:rFonts w:ascii="PT Serif" w:hAnsi="PT Serif"/>
        </w:rPr>
        <w:t>;</w:t>
      </w:r>
    </w:p>
    <w:p w:rsidR="00721C89" w:rsidRPr="00721C89" w:rsidRDefault="00721C89" w:rsidP="00721C8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721C89"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21C89">
        <w:rPr>
          <w:rFonts w:ascii="PT Serif" w:hAnsi="PT Serif"/>
        </w:rPr>
        <w:t>Югорска</w:t>
      </w:r>
      <w:proofErr w:type="spellEnd"/>
    </w:p>
    <w:p w:rsidR="00721C89" w:rsidRPr="00721C89" w:rsidRDefault="00721C89" w:rsidP="00721C89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721C89">
        <w:rPr>
          <w:rFonts w:ascii="PT Serif" w:hAnsi="PT Serif"/>
        </w:rPr>
        <w:t>Всего присутствовали 7 членов комиссии из 8</w:t>
      </w:r>
      <w:r w:rsidRPr="00721C89">
        <w:rPr>
          <w:rFonts w:ascii="PT Serif" w:hAnsi="PT Serif"/>
          <w:noProof/>
        </w:rPr>
        <w:t>.</w:t>
      </w:r>
    </w:p>
    <w:p w:rsidR="001847F4" w:rsidRPr="001847F4" w:rsidRDefault="001847F4" w:rsidP="001847F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721C89">
        <w:rPr>
          <w:rFonts w:ascii="PT Serif" w:hAnsi="PT Serif"/>
          <w:sz w:val="24"/>
          <w:szCs w:val="24"/>
        </w:rPr>
        <w:t>Представитель заказчика: Филиппова Марина Геннадьевна, главный эксперт</w:t>
      </w:r>
      <w:r w:rsidRPr="001847F4">
        <w:rPr>
          <w:rFonts w:ascii="PT Serif" w:hAnsi="PT Serif"/>
          <w:sz w:val="24"/>
          <w:szCs w:val="24"/>
        </w:rPr>
        <w:t xml:space="preserve"> мун</w:t>
      </w:r>
      <w:r>
        <w:rPr>
          <w:rFonts w:ascii="PT Serif" w:hAnsi="PT Serif"/>
          <w:sz w:val="24"/>
          <w:szCs w:val="24"/>
        </w:rPr>
        <w:t>и</w:t>
      </w:r>
      <w:r w:rsidRPr="001847F4">
        <w:rPr>
          <w:rFonts w:ascii="PT Serif" w:hAnsi="PT Serif"/>
          <w:sz w:val="24"/>
          <w:szCs w:val="24"/>
        </w:rPr>
        <w:t>ципального казенного учреждения «Служба обеспечения органов местного самоуправления».</w:t>
      </w:r>
    </w:p>
    <w:p w:rsidR="001847F4" w:rsidRPr="001847F4" w:rsidRDefault="001847F4" w:rsidP="001847F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1847F4">
        <w:rPr>
          <w:rFonts w:ascii="PT Serif" w:hAnsi="PT Serif"/>
          <w:sz w:val="24"/>
          <w:szCs w:val="24"/>
        </w:rPr>
        <w:t>1. Наименование аукциона: аукцион в электронной форме № 0187300005819000078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рамок.</w:t>
      </w:r>
    </w:p>
    <w:p w:rsidR="001847F4" w:rsidRPr="001847F4" w:rsidRDefault="001847F4" w:rsidP="001847F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1847F4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1847F4">
          <w:rPr>
            <w:rFonts w:ascii="PT Serif" w:hAnsi="PT Serif"/>
          </w:rPr>
          <w:t>http://zakupki.gov.ru/</w:t>
        </w:r>
      </w:hyperlink>
      <w:r w:rsidRPr="001847F4">
        <w:rPr>
          <w:rFonts w:ascii="PT Serif" w:hAnsi="PT Serif"/>
          <w:sz w:val="24"/>
          <w:szCs w:val="24"/>
        </w:rPr>
        <w:t xml:space="preserve">, код аукциона 0187300005819000078, дата публикации 23.04.2019. </w:t>
      </w:r>
    </w:p>
    <w:p w:rsidR="001847F4" w:rsidRPr="001847F4" w:rsidRDefault="001847F4" w:rsidP="001847F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1847F4">
        <w:rPr>
          <w:rFonts w:ascii="PT Serif" w:hAnsi="PT Serif"/>
          <w:sz w:val="24"/>
          <w:szCs w:val="24"/>
        </w:rPr>
        <w:t>Идентификационный код закупки: 193862200236886220100100530012229244.</w:t>
      </w:r>
    </w:p>
    <w:p w:rsidR="001847F4" w:rsidRPr="001847F4" w:rsidRDefault="001847F4" w:rsidP="001847F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1847F4">
        <w:rPr>
          <w:rFonts w:ascii="PT Serif" w:hAnsi="PT Serif"/>
          <w:sz w:val="24"/>
          <w:szCs w:val="24"/>
        </w:rPr>
        <w:t xml:space="preserve">2. Заказчик: Администрация города </w:t>
      </w:r>
      <w:proofErr w:type="spellStart"/>
      <w:r w:rsidRPr="001847F4">
        <w:rPr>
          <w:rFonts w:ascii="PT Serif" w:hAnsi="PT Serif"/>
          <w:sz w:val="24"/>
          <w:szCs w:val="24"/>
        </w:rPr>
        <w:t>Югорска</w:t>
      </w:r>
      <w:proofErr w:type="spellEnd"/>
      <w:r w:rsidRPr="001847F4">
        <w:rPr>
          <w:rFonts w:ascii="PT Serif" w:hAnsi="PT Serif"/>
          <w:sz w:val="24"/>
          <w:szCs w:val="24"/>
        </w:rPr>
        <w:t xml:space="preserve">. </w:t>
      </w:r>
      <w:proofErr w:type="gramStart"/>
      <w:r w:rsidRPr="001847F4">
        <w:rPr>
          <w:rFonts w:ascii="PT Serif" w:hAnsi="PT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1847F4">
        <w:rPr>
          <w:rFonts w:ascii="PT Serif" w:hAnsi="PT Serif"/>
          <w:sz w:val="24"/>
          <w:szCs w:val="24"/>
        </w:rPr>
        <w:t>Югорск</w:t>
      </w:r>
      <w:proofErr w:type="spellEnd"/>
      <w:r w:rsidRPr="001847F4">
        <w:rPr>
          <w:rFonts w:ascii="PT Serif" w:hAnsi="PT Serif"/>
          <w:sz w:val="24"/>
          <w:szCs w:val="24"/>
        </w:rPr>
        <w:t>, ул. 40 лет Победы, 11.</w:t>
      </w:r>
      <w:proofErr w:type="gramEnd"/>
    </w:p>
    <w:p w:rsidR="001847F4" w:rsidRDefault="001847F4" w:rsidP="001847F4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1847F4">
        <w:rPr>
          <w:rFonts w:ascii="PT Serif" w:hAnsi="PT Serif"/>
          <w:sz w:val="24"/>
          <w:szCs w:val="24"/>
        </w:rPr>
        <w:t>3. Процедура рассмотрения первых частей зая</w:t>
      </w:r>
      <w:bookmarkStart w:id="0" w:name="_GoBack"/>
      <w:bookmarkEnd w:id="0"/>
      <w:r w:rsidRPr="001847F4">
        <w:rPr>
          <w:rFonts w:ascii="PT Serif" w:hAnsi="PT Serif"/>
          <w:sz w:val="24"/>
          <w:szCs w:val="24"/>
        </w:rPr>
        <w:t xml:space="preserve">вок на участие в аукционе была проведена комиссией в 10.00 часов 7 мая 2019 года, по адресу: ул. 40 лет Победы, 11, г. </w:t>
      </w:r>
      <w:proofErr w:type="spellStart"/>
      <w:r w:rsidRPr="001847F4">
        <w:rPr>
          <w:rFonts w:ascii="PT Serif" w:hAnsi="PT Serif"/>
          <w:sz w:val="24"/>
          <w:szCs w:val="24"/>
        </w:rPr>
        <w:t>Югорск</w:t>
      </w:r>
      <w:proofErr w:type="spellEnd"/>
      <w:r w:rsidRPr="001847F4">
        <w:rPr>
          <w:rFonts w:ascii="PT Serif" w:hAnsi="PT Serif"/>
          <w:sz w:val="24"/>
          <w:szCs w:val="24"/>
        </w:rPr>
        <w:t>, Ханты-</w:t>
      </w:r>
      <w:r>
        <w:rPr>
          <w:rFonts w:ascii="PT Astra Serif" w:hAnsi="PT Astra Serif"/>
          <w:sz w:val="24"/>
          <w:szCs w:val="24"/>
        </w:rPr>
        <w:t>Мансийский  автономный  округ-Югра, Тюменская область.</w:t>
      </w:r>
    </w:p>
    <w:p w:rsidR="00721C89" w:rsidRPr="00721C89" w:rsidRDefault="00721C89" w:rsidP="00721C89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721C89">
        <w:rPr>
          <w:rFonts w:ascii="PT Serif" w:hAnsi="PT Serif"/>
          <w:sz w:val="24"/>
          <w:szCs w:val="24"/>
        </w:rPr>
        <w:t xml:space="preserve">4. На основании протокола проведения аукциона в </w:t>
      </w:r>
      <w:r>
        <w:rPr>
          <w:rFonts w:ascii="PT Serif" w:hAnsi="PT Serif"/>
          <w:sz w:val="24"/>
          <w:szCs w:val="24"/>
        </w:rPr>
        <w:t>электронной форме от 13.05.2019</w:t>
      </w:r>
      <w:r w:rsidRPr="00721C89">
        <w:rPr>
          <w:rFonts w:ascii="PT Serif" w:hAnsi="PT Serif"/>
          <w:sz w:val="24"/>
          <w:szCs w:val="24"/>
        </w:rPr>
        <w:t xml:space="preserve"> комиссией была рассмотрена вторая часть заявки следующего участника аукциона в электронной форме: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094"/>
        <w:gridCol w:w="1701"/>
      </w:tblGrid>
      <w:tr w:rsidR="00721C89" w:rsidTr="00721C89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89" w:rsidRDefault="00721C89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89" w:rsidRDefault="00721C89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порядковый</w:t>
            </w:r>
            <w:r>
              <w:rPr>
                <w:b/>
                <w:sz w:val="18"/>
                <w:szCs w:val="18"/>
              </w:rPr>
              <w:t xml:space="preserve"> номер заявки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89" w:rsidRDefault="00721C89">
            <w:pPr>
              <w:widowControl w:val="0"/>
              <w:ind w:firstLine="1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89" w:rsidRDefault="00721C89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721C89" w:rsidTr="00721C89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89" w:rsidRDefault="00721C89">
            <w:pPr>
              <w:widowControl w:val="0"/>
              <w:rPr>
                <w:rFonts w:ascii="Times New Roman" w:eastAsia="Times New Roman" w:hAnsi="Times New Roman"/>
              </w:rPr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89" w:rsidRDefault="00721C89">
            <w:pPr>
              <w:widowControl w:val="0"/>
              <w:rPr>
                <w:rFonts w:ascii="Times New Roman" w:eastAsia="Times New Roman" w:hAnsi="Times New Roman"/>
              </w:rPr>
            </w:pPr>
            <w:r>
              <w:t>113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4030"/>
            </w:tblGrid>
            <w:tr w:rsidR="00721C8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"ФОРЕСТ ЛЭНД"</w:t>
                  </w:r>
                </w:p>
              </w:tc>
            </w:tr>
            <w:tr w:rsidR="00721C8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>19868.00</w:t>
                  </w:r>
                </w:p>
              </w:tc>
            </w:tr>
            <w:tr w:rsidR="00721C8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>8615000458</w:t>
                  </w:r>
                </w:p>
              </w:tc>
            </w:tr>
            <w:tr w:rsidR="00721C8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>861501001</w:t>
                  </w:r>
                </w:p>
              </w:tc>
            </w:tr>
            <w:tr w:rsidR="00721C8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628242, АО ХАНТЫ-МАНСИЙСКИЙ АВТОНОМНЫЙ ОКРУГ - ЮГРА86, Г СОВЕТСКИЙ, </w:t>
                  </w:r>
                  <w:proofErr w:type="gramStart"/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>УЛ</w:t>
                  </w:r>
                  <w:proofErr w:type="gramEnd"/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 КИРОВА, ДОМ 22, КОРПУС 2, КВАРТИРА 23</w:t>
                  </w:r>
                </w:p>
              </w:tc>
            </w:tr>
            <w:tr w:rsidR="00721C8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1C89" w:rsidRPr="00721C89" w:rsidRDefault="00721C89" w:rsidP="00721C89">
                  <w:pPr>
                    <w:spacing w:after="0" w:line="240" w:lineRule="auto"/>
                    <w:rPr>
                      <w:rFonts w:ascii="PT Serif" w:eastAsia="Times New Roman" w:hAnsi="PT Serif"/>
                      <w:sz w:val="20"/>
                      <w:szCs w:val="20"/>
                    </w:rPr>
                  </w:pPr>
                  <w:r w:rsidRPr="00721C89">
                    <w:rPr>
                      <w:rFonts w:ascii="PT Serif" w:eastAsia="Times New Roman" w:hAnsi="PT Serif"/>
                      <w:sz w:val="20"/>
                      <w:szCs w:val="20"/>
                    </w:rPr>
                    <w:t>628240, Тюменская область, Ханты-Мансийский автономный округ-Югра, Советский район, город Советский, улица Кирова, дом 22, корпус 2, квартира 23.</w:t>
                  </w:r>
                </w:p>
              </w:tc>
            </w:tr>
          </w:tbl>
          <w:p w:rsidR="00721C89" w:rsidRDefault="00721C89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89" w:rsidRDefault="00721C89">
            <w:pPr>
              <w:widowControl w:val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Calibri" w:eastAsia="Times New Roman" w:hAnsi="Calibri"/>
              </w:rPr>
              <w:t>19868.00</w:t>
            </w:r>
          </w:p>
        </w:tc>
      </w:tr>
    </w:tbl>
    <w:p w:rsidR="00721C89" w:rsidRPr="00721C89" w:rsidRDefault="00721C89" w:rsidP="00721C89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</w:p>
    <w:p w:rsidR="00B60F53" w:rsidRPr="00B60F53" w:rsidRDefault="00721C89" w:rsidP="00B60F53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721C89">
        <w:rPr>
          <w:rFonts w:ascii="PT Serif" w:hAnsi="PT Serif"/>
          <w:sz w:val="24"/>
          <w:szCs w:val="24"/>
        </w:rPr>
        <w:t>5. В результате рассмотрения вторых частей заявок принято решение</w:t>
      </w:r>
      <w:r w:rsidR="00B60F53">
        <w:rPr>
          <w:rFonts w:ascii="PT Serif" w:hAnsi="PT Serif"/>
          <w:sz w:val="24"/>
          <w:szCs w:val="24"/>
        </w:rPr>
        <w:t xml:space="preserve"> </w:t>
      </w:r>
      <w:r w:rsidR="00B60F53" w:rsidRPr="00B60F53">
        <w:rPr>
          <w:rFonts w:ascii="PT Serif" w:hAnsi="PT Serif"/>
          <w:sz w:val="24"/>
          <w:szCs w:val="24"/>
        </w:rPr>
        <w:t>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2673"/>
        <w:gridCol w:w="1701"/>
        <w:gridCol w:w="1455"/>
        <w:gridCol w:w="2090"/>
      </w:tblGrid>
      <w:tr w:rsidR="00B60F53" w:rsidTr="00B60F53">
        <w:trPr>
          <w:cantSplit/>
          <w:trHeight w:val="772"/>
          <w:tblHeader/>
          <w:jc w:val="center"/>
        </w:trPr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>Причины признания заявки несоответствующей</w:t>
            </w:r>
          </w:p>
        </w:tc>
        <w:tc>
          <w:tcPr>
            <w:tcW w:w="3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B60F53" w:rsidTr="00B60F53">
        <w:trPr>
          <w:cantSplit/>
          <w:trHeight w:val="947"/>
          <w:tblHeader/>
          <w:jc w:val="center"/>
        </w:trPr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F53" w:rsidRPr="00B60F53" w:rsidRDefault="00B60F53">
            <w:pPr>
              <w:rPr>
                <w:rFonts w:ascii="PT Serif" w:eastAsia="Times New Roman" w:hAnsi="PT Serif"/>
              </w:rPr>
            </w:pPr>
          </w:p>
        </w:tc>
        <w:tc>
          <w:tcPr>
            <w:tcW w:w="2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rPr>
                <w:rFonts w:ascii="PT Serif" w:eastAsia="Times New Roman" w:hAnsi="PT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 xml:space="preserve">Федеральный закон от 05.04.2013 № 44-ФЗ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>Документация об аукционе</w:t>
            </w: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rPr>
                <w:rFonts w:ascii="PT Serif" w:eastAsia="Times New Roman" w:hAnsi="PT Serif"/>
              </w:rPr>
            </w:pPr>
          </w:p>
        </w:tc>
      </w:tr>
      <w:tr w:rsidR="00B60F53" w:rsidTr="00B60F53">
        <w:trPr>
          <w:cantSplit/>
          <w:trHeight w:val="3620"/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F53" w:rsidRPr="00B60F53" w:rsidRDefault="00B60F53">
            <w:pPr>
              <w:ind w:firstLine="34"/>
              <w:jc w:val="center"/>
              <w:rPr>
                <w:rFonts w:ascii="PT Serif" w:eastAsia="Times New Roman" w:hAnsi="PT Serif"/>
                <w:bCs/>
                <w:sz w:val="20"/>
                <w:szCs w:val="20"/>
              </w:rPr>
            </w:pPr>
          </w:p>
          <w:p w:rsidR="00B60F53" w:rsidRPr="00B60F53" w:rsidRDefault="00B60F53">
            <w:pPr>
              <w:ind w:firstLine="34"/>
              <w:jc w:val="center"/>
              <w:rPr>
                <w:rFonts w:ascii="PT Serif" w:hAnsi="PT Serif"/>
              </w:rPr>
            </w:pPr>
            <w:r w:rsidRPr="00B60F53">
              <w:rPr>
                <w:rFonts w:ascii="PT Serif" w:hAnsi="PT Serif"/>
                <w:bCs/>
              </w:rPr>
              <w:t>№</w:t>
            </w:r>
            <w:r w:rsidRPr="00B60F53">
              <w:rPr>
                <w:rFonts w:ascii="PT Serif" w:hAnsi="PT Serif"/>
              </w:rPr>
              <w:t>113</w:t>
            </w:r>
            <w:r w:rsidRPr="00B60F53">
              <w:rPr>
                <w:rFonts w:ascii="PT Serif" w:hAnsi="PT Serif"/>
              </w:rPr>
              <w:t>,</w:t>
            </w:r>
          </w:p>
          <w:p w:rsidR="00B60F53" w:rsidRPr="00B60F53" w:rsidRDefault="00B60F53">
            <w:pPr>
              <w:widowControl w:val="0"/>
              <w:ind w:firstLine="34"/>
              <w:jc w:val="center"/>
              <w:rPr>
                <w:rFonts w:ascii="PT Serif" w:eastAsia="Times New Roman" w:hAnsi="PT Serif"/>
                <w:color w:val="000000"/>
                <w:spacing w:val="-6"/>
              </w:rPr>
            </w:pPr>
            <w:r w:rsidRPr="00B60F53">
              <w:rPr>
                <w:rFonts w:ascii="PT Serif" w:eastAsia="Times New Roman" w:hAnsi="PT Serif"/>
                <w:b/>
                <w:bCs/>
                <w:sz w:val="20"/>
                <w:szCs w:val="20"/>
              </w:rPr>
              <w:t>ОБЩЕСТВО С ОГРАНИЧЕННОЙ ОТВЕТСТВЕННОСТЬЮ "ФОРЕСТ ЛЭНД"</w:t>
            </w:r>
            <w:r w:rsidRPr="00B60F53">
              <w:rPr>
                <w:rFonts w:ascii="PT Serif" w:hAnsi="PT Serif"/>
              </w:rPr>
              <w:br/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53" w:rsidRPr="00B60F53" w:rsidRDefault="00B60F53">
            <w:pPr>
              <w:jc w:val="both"/>
              <w:rPr>
                <w:rFonts w:ascii="PT Serif" w:eastAsia="Times New Roman" w:hAnsi="PT Serif"/>
                <w:sz w:val="20"/>
                <w:szCs w:val="20"/>
              </w:rPr>
            </w:pPr>
            <w:proofErr w:type="gramStart"/>
            <w:r w:rsidRPr="00B60F53">
              <w:rPr>
                <w:rFonts w:ascii="PT Serif" w:hAnsi="PT Serif"/>
                <w:color w:val="000000"/>
              </w:rPr>
              <w:t xml:space="preserve">Отсутствует копия учредительных документов юридического лица, а именно </w:t>
            </w:r>
            <w:r w:rsidRPr="00B60F53">
              <w:rPr>
                <w:rFonts w:ascii="PT Serif" w:hAnsi="PT Serif"/>
                <w:color w:val="000000"/>
              </w:rPr>
              <w:t>Устава</w:t>
            </w:r>
            <w:r w:rsidRPr="00B60F53">
              <w:rPr>
                <w:rFonts w:ascii="PT Serif" w:hAnsi="PT Serif"/>
                <w:color w:val="000000"/>
              </w:rPr>
              <w:t xml:space="preserve"> </w:t>
            </w:r>
            <w:r w:rsidRPr="00B60F53">
              <w:rPr>
                <w:rFonts w:ascii="PT Serif" w:hAnsi="PT Serif"/>
                <w:color w:val="000000"/>
              </w:rPr>
              <w:t>(</w:t>
            </w:r>
            <w:r w:rsidRPr="00B60F53">
              <w:rPr>
                <w:rFonts w:ascii="PT Serif" w:hAnsi="PT Serif"/>
              </w:rPr>
              <w:t>пункт 1 части 6 статьи 69 Федерального закона от 05.04.2013 № 44-ФЗ</w:t>
            </w:r>
            <w:proofErr w:type="gramEnd"/>
          </w:p>
          <w:p w:rsidR="00B60F53" w:rsidRPr="00B60F53" w:rsidRDefault="00B60F53">
            <w:pPr>
              <w:widowControl w:val="0"/>
              <w:ind w:left="-38" w:hanging="7"/>
              <w:jc w:val="both"/>
              <w:rPr>
                <w:rFonts w:ascii="PT Serif" w:eastAsia="Times New Roman" w:hAnsi="PT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ind w:hanging="45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>Пункт 5 части 2 статьи 62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ind w:hanging="45"/>
              <w:jc w:val="center"/>
              <w:rPr>
                <w:rFonts w:ascii="PT Serif" w:eastAsia="Times New Roman" w:hAnsi="PT Serif"/>
              </w:rPr>
            </w:pPr>
            <w:r w:rsidRPr="00B60F53">
              <w:rPr>
                <w:rFonts w:ascii="PT Serif" w:hAnsi="PT Serif"/>
              </w:rPr>
              <w:t>__________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Pr="00B60F53" w:rsidRDefault="00B60F53">
            <w:pPr>
              <w:widowControl w:val="0"/>
              <w:ind w:hanging="45"/>
              <w:jc w:val="center"/>
              <w:rPr>
                <w:rFonts w:ascii="PT Serif" w:eastAsia="Times New Roman" w:hAnsi="PT Serif"/>
                <w:sz w:val="18"/>
              </w:rPr>
            </w:pPr>
            <w:r w:rsidRPr="00B60F53">
              <w:rPr>
                <w:rFonts w:ascii="PT Serif" w:hAnsi="PT Serif"/>
                <w:sz w:val="18"/>
              </w:rPr>
              <w:t>Документы, направленные оператором электронной площадки в соответствии  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B60F53" w:rsidRDefault="00B60F53" w:rsidP="00721C89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</w:p>
    <w:p w:rsidR="00721C89" w:rsidRPr="00721C89" w:rsidRDefault="00721C89" w:rsidP="00721C89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721C89">
        <w:rPr>
          <w:rFonts w:ascii="PT Serif" w:hAnsi="PT Serif"/>
          <w:sz w:val="24"/>
          <w:szCs w:val="24"/>
        </w:rPr>
        <w:t>6. Так как п</w:t>
      </w:r>
      <w:r w:rsidR="00B60F53">
        <w:rPr>
          <w:rFonts w:ascii="PT Serif" w:hAnsi="PT Serif"/>
          <w:sz w:val="24"/>
          <w:szCs w:val="24"/>
        </w:rPr>
        <w:t xml:space="preserve">ринято решение о несоответствии </w:t>
      </w:r>
      <w:r w:rsidRPr="00721C89">
        <w:rPr>
          <w:rFonts w:ascii="PT Serif" w:hAnsi="PT Serif"/>
          <w:sz w:val="24"/>
          <w:szCs w:val="24"/>
        </w:rPr>
        <w:t xml:space="preserve">требованиям документации об аукционе </w:t>
      </w:r>
      <w:r w:rsidR="00B60F53">
        <w:rPr>
          <w:rFonts w:ascii="PT Serif" w:hAnsi="PT Serif"/>
          <w:sz w:val="24"/>
          <w:szCs w:val="24"/>
        </w:rPr>
        <w:t>всех вторых частей заявок на участие в нем</w:t>
      </w:r>
      <w:r w:rsidRPr="00721C89">
        <w:rPr>
          <w:rFonts w:ascii="PT Serif" w:hAnsi="PT Serif"/>
          <w:sz w:val="24"/>
          <w:szCs w:val="24"/>
        </w:rPr>
        <w:t xml:space="preserve">, на основании части 13 статьи 69 Федерального закона от 05.04.2013 №44-ФЗ аукцион признается несостоявшимся. </w:t>
      </w:r>
    </w:p>
    <w:p w:rsidR="00721C89" w:rsidRPr="00721C89" w:rsidRDefault="00B60F53" w:rsidP="00721C89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7</w:t>
      </w:r>
      <w:r w:rsidR="00721C89" w:rsidRPr="00721C89">
        <w:rPr>
          <w:rFonts w:ascii="PT Serif" w:hAnsi="PT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721C89" w:rsidRPr="00721C89">
          <w:rPr>
            <w:rFonts w:ascii="PT Serif" w:hAnsi="PT Serif"/>
            <w:szCs w:val="24"/>
          </w:rPr>
          <w:t>http://www.sberbank-ast.ru</w:t>
        </w:r>
      </w:hyperlink>
      <w:r w:rsidR="00721C89" w:rsidRPr="00721C89">
        <w:rPr>
          <w:rFonts w:ascii="PT Serif" w:hAnsi="PT Serif"/>
          <w:sz w:val="24"/>
          <w:szCs w:val="24"/>
        </w:rPr>
        <w:t>.</w:t>
      </w:r>
    </w:p>
    <w:p w:rsidR="001847F4" w:rsidRDefault="001847F4" w:rsidP="001847F4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1847F4" w:rsidRDefault="001847F4" w:rsidP="001847F4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847F4" w:rsidRDefault="001847F4" w:rsidP="001847F4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721C89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721C89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eastAsia="Times New Roman" w:hAnsi="PT Serif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PT Serif" w:eastAsia="Times New Roman" w:hAnsi="PT Serif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</w:rPr>
              <w:t>Резинкина</w:t>
            </w:r>
            <w:proofErr w:type="spellEnd"/>
          </w:p>
        </w:tc>
      </w:tr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1847F4" w:rsidTr="0018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F4" w:rsidRDefault="001847F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F4" w:rsidRDefault="001847F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1847F4" w:rsidRDefault="001847F4" w:rsidP="001847F4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721C89" w:rsidRDefault="001847F4" w:rsidP="00721C89">
      <w:pPr>
        <w:spacing w:after="0" w:line="240" w:lineRule="auto"/>
        <w:jc w:val="right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 w:rsidR="00721C89">
        <w:rPr>
          <w:rFonts w:ascii="PT Serif" w:hAnsi="PT Serif"/>
          <w:b/>
          <w:sz w:val="24"/>
          <w:szCs w:val="24"/>
        </w:rPr>
        <w:t xml:space="preserve">Заместитель  председателя  комиссии:                                                 В.К. </w:t>
      </w:r>
      <w:proofErr w:type="spellStart"/>
      <w:r w:rsidR="00721C89">
        <w:rPr>
          <w:rFonts w:ascii="PT Serif" w:hAnsi="PT Serif"/>
          <w:b/>
          <w:sz w:val="24"/>
          <w:szCs w:val="24"/>
        </w:rPr>
        <w:t>Бандурин</w:t>
      </w:r>
      <w:proofErr w:type="spellEnd"/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b/>
          <w:sz w:val="24"/>
          <w:szCs w:val="24"/>
        </w:rPr>
      </w:pPr>
    </w:p>
    <w:p w:rsidR="00721C89" w:rsidRDefault="00721C89" w:rsidP="00721C89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Члены  комиссии</w:t>
      </w:r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721C89" w:rsidRDefault="00721C89" w:rsidP="00721C89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                                                                                      </w:t>
      </w:r>
    </w:p>
    <w:p w:rsidR="001847F4" w:rsidRDefault="001847F4" w:rsidP="00721C89">
      <w:pPr>
        <w:spacing w:after="0" w:line="240" w:lineRule="auto"/>
        <w:ind w:left="284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847F4" w:rsidRDefault="001847F4" w:rsidP="001847F4"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________________</w:t>
      </w:r>
      <w:r>
        <w:rPr>
          <w:rFonts w:ascii="PT Serif" w:hAnsi="PT Serif"/>
          <w:sz w:val="24"/>
        </w:rPr>
        <w:t>М.Г. Филиппова</w:t>
      </w:r>
    </w:p>
    <w:p w:rsidR="0087295C" w:rsidRDefault="0087295C"/>
    <w:p w:rsidR="00721C89" w:rsidRDefault="00721C89"/>
    <w:p w:rsidR="00721C89" w:rsidRDefault="00721C89"/>
    <w:p w:rsidR="00721C89" w:rsidRDefault="00721C89"/>
    <w:p w:rsidR="00B60F53" w:rsidRDefault="00B60F53" w:rsidP="00B60F53">
      <w:pPr>
        <w:suppressAutoHyphens/>
        <w:spacing w:after="0" w:line="240" w:lineRule="auto"/>
        <w:ind w:right="-66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Приложение 1</w:t>
      </w:r>
    </w:p>
    <w:p w:rsidR="00B60F53" w:rsidRDefault="00B60F53" w:rsidP="00B60F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B60F53" w:rsidRDefault="00B60F53" w:rsidP="00B60F53">
      <w:pPr>
        <w:tabs>
          <w:tab w:val="left" w:pos="3930"/>
          <w:tab w:val="right" w:pos="9355"/>
        </w:tabs>
        <w:suppressAutoHyphens/>
        <w:spacing w:after="0" w:line="240" w:lineRule="auto"/>
        <w:ind w:right="-66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от «</w:t>
      </w:r>
      <w:r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ar-SA"/>
        </w:rPr>
        <w:t>14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ar-SA"/>
        </w:rPr>
        <w:t>мая 2019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ar-SA"/>
        </w:rPr>
        <w:t>0187300005819000078-3</w:t>
      </w:r>
    </w:p>
    <w:p w:rsidR="00B60F53" w:rsidRDefault="00B60F53" w:rsidP="00B6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Таблица подведения итогов аукциона</w:t>
      </w:r>
    </w:p>
    <w:p w:rsidR="00B60F53" w:rsidRDefault="00B60F53" w:rsidP="00B6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</w:t>
      </w:r>
    </w:p>
    <w:p w:rsidR="00B60F53" w:rsidRDefault="00B60F53" w:rsidP="00B6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на поставку рамок.</w:t>
      </w:r>
    </w:p>
    <w:p w:rsidR="00B60F53" w:rsidRDefault="00B60F53" w:rsidP="00B60F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Заказчик: Администрация города </w:t>
      </w:r>
      <w:proofErr w:type="spellStart"/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Югорска</w:t>
      </w:r>
      <w:proofErr w:type="spellEnd"/>
    </w:p>
    <w:tbl>
      <w:tblPr>
        <w:tblW w:w="1077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1277"/>
        <w:gridCol w:w="2127"/>
      </w:tblGrid>
      <w:tr w:rsidR="00B60F53" w:rsidTr="00B60F53">
        <w:trPr>
          <w:trHeight w:val="3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Порядковый номер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113</w:t>
            </w:r>
          </w:p>
        </w:tc>
      </w:tr>
      <w:tr w:rsidR="00B60F53" w:rsidTr="00B60F53">
        <w:trPr>
          <w:trHeight w:val="6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294" w:hanging="294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"ФОРЕСТ ЛЭНД", </w:t>
            </w:r>
          </w:p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г. Советский</w:t>
            </w:r>
          </w:p>
        </w:tc>
      </w:tr>
      <w:tr w:rsidR="00B60F53" w:rsidTr="00B60F53">
        <w:trPr>
          <w:trHeight w:val="71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60F53" w:rsidTr="00B60F53">
        <w:trPr>
          <w:trHeight w:val="38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60F53" w:rsidTr="00B60F53">
        <w:trPr>
          <w:trHeight w:val="11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60F53" w:rsidTr="00B60F53">
        <w:trPr>
          <w:trHeight w:val="2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60F53" w:rsidTr="00B60F53">
        <w:trPr>
          <w:trHeight w:val="6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60F53" w:rsidTr="00B60F53">
        <w:trPr>
          <w:trHeight w:val="6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60F53" w:rsidTr="00B60F53">
        <w:trPr>
          <w:trHeight w:val="111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B60F53" w:rsidTr="00B60F53">
        <w:trPr>
          <w:trHeight w:val="6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7.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B60F53" w:rsidTr="00B60F53">
        <w:trPr>
          <w:trHeight w:val="7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Не в полном объеме</w:t>
            </w:r>
          </w:p>
        </w:tc>
      </w:tr>
      <w:tr w:rsidR="00B60F53" w:rsidTr="00B60F53">
        <w:trPr>
          <w:trHeight w:val="7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napToGrid w:val="0"/>
              <w:ind w:left="105" w:right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53" w:rsidRDefault="00B60F5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B60F53" w:rsidTr="00B60F53">
        <w:trPr>
          <w:trHeight w:val="30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10. Начальная (максимальная) цена контракта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19 968 (девятнадцать тысяч девятьсот шестьдесят восемь) рублей 00 копеек.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 w:hanging="3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B60F53" w:rsidTr="00B60F53">
        <w:trPr>
          <w:trHeight w:val="30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11. Предложенная цена контракта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-57" w:right="-57" w:hanging="3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 xml:space="preserve">19 868,00 </w:t>
            </w:r>
          </w:p>
        </w:tc>
      </w:tr>
      <w:tr w:rsidR="00B60F53" w:rsidTr="00B60F53">
        <w:trPr>
          <w:trHeight w:val="196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napToGrid w:val="0"/>
              <w:spacing w:after="0" w:line="240" w:lineRule="auto"/>
              <w:ind w:left="57" w:right="57" w:hanging="3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12. Номер по ранжированию после завершения аукциона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53" w:rsidRDefault="00B60F5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</w:t>
            </w:r>
          </w:p>
        </w:tc>
      </w:tr>
    </w:tbl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p w:rsidR="00721C89" w:rsidRDefault="00721C89"/>
    <w:sectPr w:rsidR="00721C89" w:rsidSect="001847F4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98"/>
    <w:rsid w:val="001847F4"/>
    <w:rsid w:val="00721C89"/>
    <w:rsid w:val="00823F29"/>
    <w:rsid w:val="0087295C"/>
    <w:rsid w:val="00965B98"/>
    <w:rsid w:val="00AC36BE"/>
    <w:rsid w:val="00B60F53"/>
    <w:rsid w:val="00B7358F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47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184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1847F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0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47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184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1847F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0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2019-05-13T12:58:00Z</cp:lastPrinted>
  <dcterms:created xsi:type="dcterms:W3CDTF">2019-05-07T11:45:00Z</dcterms:created>
  <dcterms:modified xsi:type="dcterms:W3CDTF">2019-05-13T12:58:00Z</dcterms:modified>
</cp:coreProperties>
</file>