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855" w:rsidRDefault="00C86855" w:rsidP="00C86855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C86855" w:rsidRDefault="00C86855" w:rsidP="00C86855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C86855" w:rsidRDefault="00C86855" w:rsidP="00C86855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C86855" w:rsidRDefault="00C86855" w:rsidP="00C86855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D7DBE" w:rsidRDefault="00AD7DBE" w:rsidP="00C86855">
      <w:pPr>
        <w:jc w:val="center"/>
        <w:rPr>
          <w:b/>
          <w:sz w:val="24"/>
        </w:rPr>
      </w:pPr>
    </w:p>
    <w:p w:rsidR="00C86855" w:rsidRDefault="00C86855" w:rsidP="00C86855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«16» июля  2019 г.                                                                                 </w:t>
      </w:r>
      <w:r w:rsidR="00AD7DBE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 № 0187300005819000224-3</w:t>
      </w:r>
    </w:p>
    <w:p w:rsidR="00AD7DBE" w:rsidRDefault="00AD7DBE" w:rsidP="00C86855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</w:p>
    <w:p w:rsidR="00C86855" w:rsidRDefault="00C86855" w:rsidP="00C86855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C86855" w:rsidRDefault="00C86855" w:rsidP="00C86855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86855" w:rsidRDefault="00C86855" w:rsidP="00C8685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C86855" w:rsidRDefault="00C86855" w:rsidP="00C86855">
      <w:pPr>
        <w:pStyle w:val="a5"/>
        <w:keepNext/>
        <w:keepLines/>
        <w:suppressLineNumbers/>
        <w:tabs>
          <w:tab w:val="left" w:pos="284"/>
          <w:tab w:val="left" w:pos="567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C86855" w:rsidRDefault="00C86855" w:rsidP="00C8685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86855" w:rsidRDefault="00C86855" w:rsidP="00C8685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C86855" w:rsidRDefault="00C86855" w:rsidP="00C8685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86855" w:rsidRDefault="00C86855" w:rsidP="00C86855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86855" w:rsidRDefault="00C86855" w:rsidP="00C8685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8.</w:t>
      </w:r>
    </w:p>
    <w:p w:rsidR="00C86855" w:rsidRDefault="00C86855" w:rsidP="00C8685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C86855">
        <w:rPr>
          <w:rFonts w:ascii="PT Astra Serif" w:hAnsi="PT Astra Serif"/>
          <w:sz w:val="24"/>
          <w:szCs w:val="24"/>
        </w:rPr>
        <w:t>Климова Ольга Евгеньевна</w:t>
      </w:r>
      <w:r>
        <w:rPr>
          <w:rFonts w:ascii="PT Astra Serif" w:hAnsi="PT Astra Serif"/>
          <w:sz w:val="24"/>
          <w:szCs w:val="24"/>
        </w:rPr>
        <w:t xml:space="preserve">, </w:t>
      </w:r>
      <w:r w:rsidRPr="00C86855">
        <w:rPr>
          <w:rFonts w:ascii="PT Astra Serif" w:hAnsi="PT Astra Serif"/>
          <w:sz w:val="24"/>
          <w:szCs w:val="24"/>
        </w:rPr>
        <w:t>специалист по закупкам МБОУ СОШР «Центр Югорского спорта»</w:t>
      </w:r>
    </w:p>
    <w:p w:rsidR="00C86855" w:rsidRPr="00C86855" w:rsidRDefault="00C86855" w:rsidP="00C8685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0187300005819000224 </w:t>
      </w:r>
      <w:r w:rsidRPr="00C86855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контракта на поставку кормов для лошадей</w:t>
      </w:r>
      <w:r>
        <w:rPr>
          <w:rFonts w:ascii="PT Astra Serif" w:hAnsi="PT Astra Serif"/>
          <w:sz w:val="24"/>
          <w:szCs w:val="24"/>
        </w:rPr>
        <w:t>.</w:t>
      </w:r>
    </w:p>
    <w:p w:rsidR="00C86855" w:rsidRDefault="00C86855" w:rsidP="00C8685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C86855">
          <w:rPr>
            <w:rFonts w:ascii="PT Astra Serif" w:hAnsi="PT Astra Serif"/>
            <w:sz w:val="24"/>
            <w:szCs w:val="24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0187300005819000224, дата публикации 28.06.2019. </w:t>
      </w:r>
    </w:p>
    <w:p w:rsidR="00C86855" w:rsidRDefault="00C86855" w:rsidP="00C8685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193862200213586220100100100100000000.</w:t>
      </w:r>
    </w:p>
    <w:p w:rsidR="00C86855" w:rsidRDefault="00C86855" w:rsidP="00C8685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Pr="00C86855">
        <w:rPr>
          <w:rFonts w:ascii="PT Astra Serif" w:hAnsi="PT Astra Serif"/>
          <w:sz w:val="24"/>
          <w:szCs w:val="24"/>
        </w:rPr>
        <w:t>Муниципальное бюджетное учреждение спортивная школа олимпийского резерва «Центр Югорского спорта»</w:t>
      </w:r>
      <w:r>
        <w:rPr>
          <w:rFonts w:ascii="PT Astra Serif" w:hAnsi="PT Astra Serif"/>
          <w:sz w:val="24"/>
          <w:szCs w:val="24"/>
        </w:rPr>
        <w:t xml:space="preserve">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 xml:space="preserve">, </w:t>
      </w:r>
      <w:r w:rsidRPr="00C86855">
        <w:rPr>
          <w:rFonts w:ascii="PT Astra Serif" w:hAnsi="PT Astra Serif"/>
          <w:sz w:val="24"/>
          <w:szCs w:val="24"/>
        </w:rPr>
        <w:t>ул. Студенческая, 35</w:t>
      </w:r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C86855" w:rsidRDefault="00C86855" w:rsidP="00C8685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09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C86855" w:rsidRDefault="00C86855" w:rsidP="00C86855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12.07.2019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C86855" w:rsidTr="00C86855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C86855" w:rsidTr="00C8685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79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C868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Ходжаев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Давлатхужа</w:t>
                  </w:r>
                  <w:proofErr w:type="spellEnd"/>
                  <w:r>
                    <w:rPr>
                      <w:rFonts w:ascii="Calibri" w:hAnsi="Calibri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b/>
                      <w:bCs/>
                    </w:rPr>
                    <w:t>Ахмадович</w:t>
                  </w:r>
                  <w:proofErr w:type="spellEnd"/>
                </w:p>
              </w:tc>
            </w:tr>
            <w:tr w:rsidR="00C868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693360.00</w:t>
                  </w:r>
                </w:p>
              </w:tc>
            </w:tr>
            <w:tr w:rsidR="00C868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862202982579</w:t>
                  </w:r>
                </w:p>
              </w:tc>
            </w:tr>
            <w:tr w:rsidR="00C868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/>
              </w:tc>
            </w:tr>
            <w:tr w:rsidR="00C868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аежная</w:t>
                  </w:r>
                  <w:proofErr w:type="spellEnd"/>
                  <w:r>
                    <w:rPr>
                      <w:rFonts w:ascii="Calibri" w:hAnsi="Calibri"/>
                    </w:rPr>
                    <w:t>, д.82</w:t>
                  </w:r>
                </w:p>
              </w:tc>
            </w:tr>
            <w:tr w:rsidR="00C86855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Ханты-Мансийский Автономный округ - Югра АО,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  <w:r>
                    <w:rPr>
                      <w:rFonts w:ascii="Calibri" w:hAnsi="Calibri"/>
                    </w:rPr>
                    <w:t xml:space="preserve"> г, </w:t>
                  </w:r>
                  <w:proofErr w:type="spellStart"/>
                  <w:r>
                    <w:rPr>
                      <w:rFonts w:ascii="Calibri" w:hAnsi="Calibri"/>
                    </w:rPr>
                    <w:t>ул</w:t>
                  </w:r>
                  <w:proofErr w:type="gramStart"/>
                  <w:r>
                    <w:rPr>
                      <w:rFonts w:ascii="Calibri" w:hAnsi="Calibri"/>
                    </w:rPr>
                    <w:t>.Т</w:t>
                  </w:r>
                  <w:proofErr w:type="gramEnd"/>
                  <w:r>
                    <w:rPr>
                      <w:rFonts w:ascii="Calibri" w:hAnsi="Calibri"/>
                    </w:rPr>
                    <w:t>аежная</w:t>
                  </w:r>
                  <w:proofErr w:type="spellEnd"/>
                  <w:r>
                    <w:rPr>
                      <w:rFonts w:ascii="Calibri" w:hAnsi="Calibri"/>
                    </w:rPr>
                    <w:t>, д.82</w:t>
                  </w:r>
                </w:p>
              </w:tc>
            </w:tr>
          </w:tbl>
          <w:p w:rsidR="00C86855" w:rsidRDefault="00C8685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Calibri" w:hAnsi="Calibri"/>
              </w:rPr>
              <w:t>693360.00</w:t>
            </w:r>
          </w:p>
        </w:tc>
      </w:tr>
      <w:tr w:rsidR="00C86855" w:rsidTr="00C86855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104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C8685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845302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  <w:b/>
                      <w:bCs/>
                    </w:rPr>
                    <w:t xml:space="preserve">Индивидуальный предприниматель </w:t>
                  </w:r>
                  <w:r w:rsidR="00C86855">
                    <w:rPr>
                      <w:rFonts w:ascii="Calibri" w:hAnsi="Calibri"/>
                      <w:b/>
                      <w:bCs/>
                    </w:rPr>
                    <w:t>ОШАРОВ НИКОЛАЙ АЛЕКСАНДРОВИЧ</w:t>
                  </w:r>
                </w:p>
              </w:tc>
            </w:tr>
            <w:tr w:rsidR="00C8685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697640.00</w:t>
                  </w:r>
                </w:p>
              </w:tc>
            </w:tr>
            <w:tr w:rsidR="00C8685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>862201226160</w:t>
                  </w:r>
                </w:p>
              </w:tc>
            </w:tr>
            <w:tr w:rsidR="00C8685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/>
              </w:tc>
            </w:tr>
            <w:tr w:rsidR="00C8685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- Ханты-Мансийский Автономный округ - Югра86, - </w:t>
                  </w:r>
                  <w:proofErr w:type="spellStart"/>
                  <w:r>
                    <w:rPr>
                      <w:rFonts w:ascii="Calibri" w:hAnsi="Calibri"/>
                    </w:rPr>
                    <w:t>Югорск</w:t>
                  </w:r>
                  <w:proofErr w:type="spellEnd"/>
                </w:p>
              </w:tc>
            </w:tr>
            <w:tr w:rsidR="00C8685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86855" w:rsidRDefault="00C86855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628260, АО ХАНТЫ-МАНСИЙСКИЙ АВТОНОМНЫЙ ОКРУГ - ЮГРА86, Г ЮГОРСК, </w:t>
                  </w:r>
                  <w:proofErr w:type="gramStart"/>
                  <w:r>
                    <w:rPr>
                      <w:rFonts w:ascii="Calibri" w:hAnsi="Calibri"/>
                    </w:rPr>
                    <w:t>УЛ</w:t>
                  </w:r>
                  <w:proofErr w:type="gramEnd"/>
                  <w:r>
                    <w:rPr>
                      <w:rFonts w:ascii="Calibri" w:hAnsi="Calibri"/>
                    </w:rPr>
                    <w:t xml:space="preserve"> 40 ЛЕТ ПОБЕДЫ, 9, А, 58</w:t>
                  </w:r>
                </w:p>
              </w:tc>
            </w:tr>
          </w:tbl>
          <w:p w:rsidR="00C86855" w:rsidRDefault="00C86855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</w:rPr>
              <w:t>697640.00</w:t>
            </w:r>
          </w:p>
        </w:tc>
      </w:tr>
    </w:tbl>
    <w:p w:rsidR="00C86855" w:rsidRPr="00A743B6" w:rsidRDefault="00C86855" w:rsidP="00C8685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743B6"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C86855" w:rsidRPr="00A743B6" w:rsidRDefault="00C86855" w:rsidP="00C8685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743B6">
        <w:rPr>
          <w:rFonts w:ascii="PT Astra Serif" w:hAnsi="PT Astra Serif"/>
          <w:sz w:val="24"/>
          <w:szCs w:val="24"/>
        </w:rPr>
        <w:t xml:space="preserve">- </w:t>
      </w:r>
      <w:r w:rsidR="00845302" w:rsidRPr="00A743B6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845302" w:rsidRPr="00A743B6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845302" w:rsidRPr="00A743B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45302" w:rsidRPr="00A743B6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A743B6">
        <w:rPr>
          <w:rFonts w:ascii="PT Astra Serif" w:hAnsi="PT Astra Serif"/>
          <w:sz w:val="24"/>
          <w:szCs w:val="24"/>
        </w:rPr>
        <w:t>;</w:t>
      </w:r>
    </w:p>
    <w:p w:rsidR="00C86855" w:rsidRPr="00A743B6" w:rsidRDefault="00C86855" w:rsidP="00C8685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743B6">
        <w:rPr>
          <w:rFonts w:ascii="PT Astra Serif" w:hAnsi="PT Astra Serif"/>
          <w:sz w:val="24"/>
          <w:szCs w:val="24"/>
        </w:rPr>
        <w:t xml:space="preserve">- </w:t>
      </w:r>
      <w:r w:rsidR="00845302" w:rsidRPr="00A743B6">
        <w:rPr>
          <w:rFonts w:ascii="PT Astra Serif" w:hAnsi="PT Astra Serif"/>
          <w:sz w:val="24"/>
          <w:szCs w:val="24"/>
        </w:rPr>
        <w:t>Индивидуальный предприниматель ОШАРОВ НИКОЛАЙ АЛЕКСАНДРОВИЧ.</w:t>
      </w:r>
    </w:p>
    <w:p w:rsidR="00C86855" w:rsidRPr="00A743B6" w:rsidRDefault="00C86855" w:rsidP="00C8685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743B6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 ау</w:t>
      </w:r>
      <w:r w:rsidR="00845302" w:rsidRPr="00A743B6">
        <w:rPr>
          <w:rFonts w:ascii="PT Astra Serif" w:hAnsi="PT Astra Serif"/>
          <w:sz w:val="24"/>
          <w:szCs w:val="24"/>
        </w:rPr>
        <w:t>кциона в электронной форме от 12</w:t>
      </w:r>
      <w:r w:rsidRPr="00A743B6">
        <w:rPr>
          <w:rFonts w:ascii="PT Astra Serif" w:hAnsi="PT Astra Serif"/>
          <w:sz w:val="24"/>
          <w:szCs w:val="24"/>
        </w:rPr>
        <w:t xml:space="preserve">.07.2019 победителем аукциона в электронной форме признается </w:t>
      </w:r>
      <w:r w:rsidR="00845302" w:rsidRPr="00A743B6">
        <w:rPr>
          <w:rFonts w:ascii="PT Astra Serif" w:hAnsi="PT Astra Serif"/>
          <w:sz w:val="24"/>
          <w:szCs w:val="24"/>
        </w:rPr>
        <w:t xml:space="preserve">Индивидуальный предприниматель Ходжаев </w:t>
      </w:r>
      <w:proofErr w:type="spellStart"/>
      <w:r w:rsidR="00845302" w:rsidRPr="00A743B6">
        <w:rPr>
          <w:rFonts w:ascii="PT Astra Serif" w:hAnsi="PT Astra Serif"/>
          <w:sz w:val="24"/>
          <w:szCs w:val="24"/>
        </w:rPr>
        <w:t>Давлатхужа</w:t>
      </w:r>
      <w:proofErr w:type="spellEnd"/>
      <w:r w:rsidR="00845302" w:rsidRPr="00A743B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45302" w:rsidRPr="00A743B6">
        <w:rPr>
          <w:rFonts w:ascii="PT Astra Serif" w:hAnsi="PT Astra Serif"/>
          <w:sz w:val="24"/>
          <w:szCs w:val="24"/>
        </w:rPr>
        <w:t>Ахмадович</w:t>
      </w:r>
      <w:proofErr w:type="spellEnd"/>
      <w:r w:rsidRPr="00A743B6">
        <w:rPr>
          <w:rFonts w:ascii="PT Astra Serif" w:hAnsi="PT Astra Serif"/>
          <w:sz w:val="24"/>
          <w:szCs w:val="24"/>
        </w:rPr>
        <w:t xml:space="preserve">, с ценой </w:t>
      </w:r>
      <w:r w:rsidR="00445D55" w:rsidRPr="00A743B6">
        <w:rPr>
          <w:rFonts w:ascii="PT Astra Serif" w:hAnsi="PT Astra Serif"/>
          <w:sz w:val="24"/>
          <w:szCs w:val="24"/>
        </w:rPr>
        <w:t>гражданско-право</w:t>
      </w:r>
      <w:r w:rsidR="004A6FF1">
        <w:rPr>
          <w:rFonts w:ascii="PT Astra Serif" w:hAnsi="PT Astra Serif"/>
          <w:sz w:val="24"/>
          <w:szCs w:val="24"/>
        </w:rPr>
        <w:t>во</w:t>
      </w:r>
      <w:bookmarkStart w:id="0" w:name="_GoBack"/>
      <w:bookmarkEnd w:id="0"/>
      <w:r w:rsidR="00445D55" w:rsidRPr="00A743B6">
        <w:rPr>
          <w:rFonts w:ascii="PT Astra Serif" w:hAnsi="PT Astra Serif"/>
          <w:sz w:val="24"/>
          <w:szCs w:val="24"/>
        </w:rPr>
        <w:t xml:space="preserve">го договора </w:t>
      </w:r>
      <w:r w:rsidRPr="00A743B6">
        <w:rPr>
          <w:rFonts w:ascii="PT Astra Serif" w:hAnsi="PT Astra Serif"/>
          <w:sz w:val="24"/>
          <w:szCs w:val="24"/>
        </w:rPr>
        <w:t xml:space="preserve"> </w:t>
      </w:r>
      <w:r w:rsidR="00845302" w:rsidRPr="00A743B6">
        <w:rPr>
          <w:rFonts w:ascii="PT Astra Serif" w:hAnsi="PT Astra Serif"/>
          <w:sz w:val="24"/>
          <w:szCs w:val="24"/>
        </w:rPr>
        <w:t>693360.00</w:t>
      </w:r>
      <w:r w:rsidRPr="00A743B6">
        <w:rPr>
          <w:rFonts w:ascii="PT Astra Serif" w:hAnsi="PT Astra Serif"/>
          <w:sz w:val="24"/>
          <w:szCs w:val="24"/>
        </w:rPr>
        <w:t xml:space="preserve"> рублей. </w:t>
      </w:r>
    </w:p>
    <w:p w:rsidR="00C86855" w:rsidRDefault="00C86855" w:rsidP="00C8685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A743B6"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A743B6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743B6">
        <w:rPr>
          <w:rFonts w:ascii="PT Astra Serif" w:hAnsi="PT Astra Serif"/>
          <w:sz w:val="24"/>
          <w:szCs w:val="24"/>
        </w:rPr>
        <w:t>.</w:t>
      </w:r>
    </w:p>
    <w:p w:rsidR="00A743B6" w:rsidRPr="00A743B6" w:rsidRDefault="00A743B6" w:rsidP="00C86855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C86855" w:rsidRDefault="00C86855" w:rsidP="00C86855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C86855" w:rsidRDefault="00C86855" w:rsidP="00C86855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C86855" w:rsidRDefault="00C86855" w:rsidP="00C86855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p w:rsidR="00A743B6" w:rsidRDefault="00A743B6" w:rsidP="00C86855">
      <w:pPr>
        <w:ind w:left="-142"/>
        <w:jc w:val="center"/>
        <w:rPr>
          <w:rFonts w:ascii="PT Serif" w:hAnsi="PT Serif"/>
          <w:sz w:val="24"/>
          <w:szCs w:val="24"/>
        </w:rPr>
      </w:pP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C86855" w:rsidTr="00C8685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86855" w:rsidTr="00C8685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C86855" w:rsidTr="00C8685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C86855" w:rsidTr="00C8685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55" w:rsidRDefault="00C8685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C86855" w:rsidTr="00C8685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55" w:rsidRDefault="00C8685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C86855" w:rsidTr="00C86855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55" w:rsidRDefault="00C86855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55" w:rsidRDefault="00C86855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55" w:rsidRDefault="00C86855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</w:tbl>
    <w:p w:rsidR="00C86855" w:rsidRDefault="00C86855" w:rsidP="00C86855">
      <w:pPr>
        <w:jc w:val="both"/>
        <w:rPr>
          <w:rFonts w:ascii="PT Serif" w:hAnsi="PT Serif"/>
          <w:b/>
          <w:sz w:val="24"/>
          <w:szCs w:val="24"/>
        </w:rPr>
      </w:pPr>
    </w:p>
    <w:p w:rsidR="00C86855" w:rsidRDefault="00C86855" w:rsidP="00C86855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C86855" w:rsidRDefault="00C86855" w:rsidP="00C86855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C86855" w:rsidRDefault="00C86855" w:rsidP="00C86855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</w:t>
      </w:r>
      <w:r w:rsidR="00A743B6">
        <w:rPr>
          <w:rFonts w:ascii="PT Astra Serif" w:hAnsi="PT Astra Serif"/>
          <w:b/>
          <w:sz w:val="24"/>
          <w:szCs w:val="24"/>
        </w:rPr>
        <w:t xml:space="preserve">    </w:t>
      </w: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86855" w:rsidRDefault="00C86855" w:rsidP="00C8685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C86855" w:rsidRDefault="00C86855" w:rsidP="00C8685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C86855" w:rsidRDefault="00C86855" w:rsidP="00C8685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C86855" w:rsidRDefault="00C86855" w:rsidP="00C86855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C86855" w:rsidRDefault="00C86855" w:rsidP="00C86855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C86855" w:rsidRDefault="00C86855" w:rsidP="00C86855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C86855" w:rsidRDefault="00C86855" w:rsidP="00C86855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 w:rsidR="00845302">
        <w:rPr>
          <w:rFonts w:ascii="PT Serif" w:hAnsi="PT Serif"/>
          <w:sz w:val="24"/>
        </w:rPr>
        <w:t>О.Е. Климова</w:t>
      </w:r>
    </w:p>
    <w:p w:rsidR="00312D90" w:rsidRDefault="00312D90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/>
    <w:p w:rsidR="00A743B6" w:rsidRDefault="00A743B6" w:rsidP="00A743B6">
      <w:pPr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</w:t>
      </w:r>
    </w:p>
    <w:p w:rsidR="00A743B6" w:rsidRDefault="00A743B6" w:rsidP="00A743B6">
      <w:pPr>
        <w:tabs>
          <w:tab w:val="left" w:pos="3930"/>
          <w:tab w:val="right" w:pos="9355"/>
        </w:tabs>
        <w:ind w:right="-6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к протоколу подведения итогов аукциона в электронной форме</w:t>
      </w:r>
    </w:p>
    <w:p w:rsidR="00A743B6" w:rsidRDefault="00A743B6" w:rsidP="00A743B6">
      <w:pPr>
        <w:tabs>
          <w:tab w:val="left" w:pos="3930"/>
          <w:tab w:val="right" w:pos="9355"/>
        </w:tabs>
        <w:ind w:right="-66"/>
        <w:jc w:val="right"/>
        <w:rPr>
          <w:highlight w:val="yellow"/>
        </w:rPr>
      </w:pPr>
      <w:r>
        <w:rPr>
          <w:sz w:val="18"/>
          <w:szCs w:val="18"/>
        </w:rPr>
        <w:t>от «</w:t>
      </w:r>
      <w:r>
        <w:rPr>
          <w:sz w:val="18"/>
          <w:szCs w:val="18"/>
          <w:u w:val="single"/>
        </w:rPr>
        <w:t>16</w:t>
      </w:r>
      <w:r>
        <w:rPr>
          <w:sz w:val="18"/>
          <w:szCs w:val="18"/>
        </w:rPr>
        <w:t>»</w:t>
      </w:r>
      <w:r>
        <w:rPr>
          <w:sz w:val="18"/>
          <w:szCs w:val="18"/>
          <w:u w:val="single"/>
        </w:rPr>
        <w:t xml:space="preserve"> июля</w:t>
      </w:r>
      <w:r>
        <w:rPr>
          <w:sz w:val="18"/>
          <w:szCs w:val="18"/>
        </w:rPr>
        <w:t xml:space="preserve"> 2019 г. № 0187300005819000224-3</w:t>
      </w:r>
    </w:p>
    <w:p w:rsidR="00A743B6" w:rsidRDefault="00A743B6" w:rsidP="00A743B6">
      <w:pPr>
        <w:spacing w:after="120"/>
        <w:rPr>
          <w:sz w:val="24"/>
          <w:szCs w:val="24"/>
          <w:lang w:eastAsia="ar-SA"/>
        </w:rPr>
      </w:pPr>
    </w:p>
    <w:p w:rsidR="00A743B6" w:rsidRDefault="00A743B6" w:rsidP="00A743B6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Таблица подведения итогов аукциона в электронной форме </w:t>
      </w:r>
    </w:p>
    <w:p w:rsidR="006F2C40" w:rsidRDefault="00A743B6" w:rsidP="00A743B6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среди субъектов малого предпринимательства и </w:t>
      </w:r>
    </w:p>
    <w:p w:rsidR="00A743B6" w:rsidRDefault="00A743B6" w:rsidP="00A743B6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социально-ориентированных некоммерческих организаций</w:t>
      </w:r>
    </w:p>
    <w:p w:rsidR="00A743B6" w:rsidRDefault="00A743B6" w:rsidP="00A743B6">
      <w:pPr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на право заключения гражданско-правового договора на поставку кормов для лошадей</w:t>
      </w:r>
    </w:p>
    <w:p w:rsidR="006F2C40" w:rsidRDefault="006F2C40" w:rsidP="00A743B6">
      <w:pPr>
        <w:jc w:val="center"/>
        <w:rPr>
          <w:sz w:val="24"/>
          <w:szCs w:val="24"/>
          <w:lang w:eastAsia="ar-SA"/>
        </w:rPr>
      </w:pPr>
    </w:p>
    <w:p w:rsidR="00A743B6" w:rsidRDefault="006F2C40" w:rsidP="006F2C40">
      <w:pPr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</w:t>
      </w:r>
      <w:r w:rsidR="00A743B6">
        <w:rPr>
          <w:sz w:val="24"/>
          <w:szCs w:val="24"/>
          <w:lang w:eastAsia="ar-SA"/>
        </w:rPr>
        <w:t>Заказчик</w:t>
      </w:r>
      <w:r>
        <w:rPr>
          <w:sz w:val="24"/>
          <w:szCs w:val="24"/>
          <w:lang w:eastAsia="ar-SA"/>
        </w:rPr>
        <w:t>:</w:t>
      </w:r>
      <w:r w:rsidR="00A743B6">
        <w:rPr>
          <w:sz w:val="24"/>
          <w:szCs w:val="24"/>
          <w:lang w:eastAsia="ar-SA"/>
        </w:rPr>
        <w:t xml:space="preserve"> МБУ СШОР «Центр Югорского спорта»</w:t>
      </w:r>
    </w:p>
    <w:p w:rsidR="00A743B6" w:rsidRPr="006F2C40" w:rsidRDefault="00A743B6" w:rsidP="00A743B6">
      <w:pPr>
        <w:jc w:val="center"/>
        <w:rPr>
          <w:color w:val="000000"/>
          <w:sz w:val="24"/>
          <w:szCs w:val="24"/>
          <w:lang w:eastAsia="ar-SA"/>
        </w:rPr>
      </w:pPr>
    </w:p>
    <w:p w:rsidR="00A743B6" w:rsidRDefault="00A743B6" w:rsidP="006F2C40">
      <w:pPr>
        <w:jc w:val="center"/>
        <w:rPr>
          <w:sz w:val="24"/>
          <w:szCs w:val="24"/>
          <w:lang w:eastAsia="x-none"/>
        </w:rPr>
      </w:pPr>
      <w:r w:rsidRPr="006F2C40">
        <w:rPr>
          <w:color w:val="000000"/>
          <w:sz w:val="24"/>
          <w:szCs w:val="24"/>
          <w:lang w:eastAsia="ar-SA"/>
        </w:rPr>
        <w:t xml:space="preserve">ИКЗ  </w:t>
      </w:r>
      <w:r w:rsidR="006F2C40" w:rsidRPr="006F2C40">
        <w:rPr>
          <w:rFonts w:ascii="PT Astra Serif" w:hAnsi="PT Astra Serif"/>
          <w:sz w:val="24"/>
          <w:szCs w:val="24"/>
        </w:rPr>
        <w:t>193862200213586220100100100100000000</w:t>
      </w:r>
    </w:p>
    <w:tbl>
      <w:tblPr>
        <w:tblW w:w="5124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5"/>
        <w:gridCol w:w="1235"/>
        <w:gridCol w:w="1702"/>
        <w:gridCol w:w="1959"/>
      </w:tblGrid>
      <w:tr w:rsidR="006F2C40" w:rsidTr="006F2C40">
        <w:trPr>
          <w:cantSplit/>
          <w:trHeight w:val="231"/>
        </w:trPr>
        <w:tc>
          <w:tcPr>
            <w:tcW w:w="2704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  <w:hideMark/>
          </w:tcPr>
          <w:p w:rsidR="006F2C40" w:rsidRDefault="006F2C40">
            <w:pPr>
              <w:suppressAutoHyphens/>
              <w:snapToGrid w:val="0"/>
              <w:ind w:left="294" w:hanging="294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Показатель</w:t>
            </w:r>
            <w:r>
              <w:rPr>
                <w:b/>
              </w:rPr>
              <w:t xml:space="preserve"> </w:t>
            </w:r>
          </w:p>
          <w:p w:rsidR="006F2C40" w:rsidRDefault="006F2C40" w:rsidP="00983F93">
            <w:pPr>
              <w:suppressAutoHyphens/>
              <w:snapToGrid w:val="0"/>
              <w:ind w:left="294" w:hanging="294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79" w:type="pct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vAlign w:val="center"/>
          </w:tcPr>
          <w:p w:rsidR="006F2C40" w:rsidRDefault="006F2C40" w:rsidP="005E1741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7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2C40" w:rsidRDefault="006F2C40" w:rsidP="006F2C40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Идентификационный номер заявки 79</w:t>
            </w:r>
          </w:p>
        </w:tc>
        <w:tc>
          <w:tcPr>
            <w:tcW w:w="9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2C40" w:rsidRDefault="006F2C40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  <w:p w:rsidR="006F2C40" w:rsidRDefault="006F2C40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Идентификационный номер заявки 104</w:t>
            </w:r>
          </w:p>
          <w:p w:rsidR="006F2C40" w:rsidRDefault="006F2C40">
            <w:pPr>
              <w:suppressAutoHyphens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6F2C40" w:rsidTr="006F2C40">
        <w:trPr>
          <w:cantSplit/>
          <w:trHeight w:val="20"/>
        </w:trPr>
        <w:tc>
          <w:tcPr>
            <w:tcW w:w="2704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F2C40" w:rsidRDefault="006F2C40">
            <w:pPr>
              <w:suppressAutoHyphens/>
              <w:snapToGrid w:val="0"/>
              <w:ind w:left="294" w:hanging="294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79" w:type="pct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2C40" w:rsidRDefault="006F2C40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C40" w:rsidRDefault="006F2C40">
            <w:pPr>
              <w:suppressAutoHyphens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 xml:space="preserve">ИП Ходжаев 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ar-SA"/>
              </w:rPr>
              <w:t>Давлатхужа</w:t>
            </w:r>
            <w:proofErr w:type="spellEnd"/>
            <w:r>
              <w:rPr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b/>
                <w:color w:val="000000"/>
                <w:sz w:val="18"/>
                <w:szCs w:val="18"/>
                <w:lang w:eastAsia="ar-SA"/>
              </w:rPr>
              <w:t>Ахмадович</w:t>
            </w:r>
            <w:proofErr w:type="spellEnd"/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2C40" w:rsidRDefault="006F2C40">
            <w:pPr>
              <w:suppressAutoHyphens/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 xml:space="preserve">ИП </w:t>
            </w:r>
            <w:proofErr w:type="spellStart"/>
            <w:r>
              <w:rPr>
                <w:b/>
                <w:bCs/>
                <w:color w:val="333333"/>
                <w:sz w:val="18"/>
                <w:szCs w:val="18"/>
              </w:rPr>
              <w:t>Ошаров</w:t>
            </w:r>
            <w:proofErr w:type="spellEnd"/>
            <w:r>
              <w:rPr>
                <w:b/>
                <w:bCs/>
                <w:color w:val="333333"/>
                <w:sz w:val="18"/>
                <w:szCs w:val="18"/>
              </w:rPr>
              <w:t xml:space="preserve"> Николай Александрович</w:t>
            </w:r>
          </w:p>
        </w:tc>
      </w:tr>
      <w:tr w:rsidR="00A743B6" w:rsidTr="006F2C40">
        <w:trPr>
          <w:cantSplit/>
          <w:trHeight w:val="20"/>
        </w:trPr>
        <w:tc>
          <w:tcPr>
            <w:tcW w:w="270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ind w:left="108" w:right="119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1.</w:t>
            </w:r>
            <w:r>
              <w:rPr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 -</w:t>
            </w:r>
            <w:r>
              <w:rPr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  <w:szCs w:val="18"/>
                <w:lang w:eastAsia="ar-SA"/>
              </w:rPr>
              <w:t>закупки</w:t>
            </w:r>
            <w:r>
              <w:rPr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8"/>
                <w:szCs w:val="18"/>
                <w:lang w:eastAsia="ar-SA"/>
              </w:rPr>
              <w:t>несостоятельным (</w:t>
            </w:r>
            <w:r>
              <w:rPr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sz w:val="18"/>
                <w:szCs w:val="18"/>
                <w:lang w:eastAsia="ar-SA"/>
              </w:rPr>
              <w:t>)</w:t>
            </w:r>
            <w:r>
              <w:rPr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43B6" w:rsidTr="006F2C40">
        <w:trPr>
          <w:cantSplit/>
          <w:trHeight w:val="537"/>
        </w:trPr>
        <w:tc>
          <w:tcPr>
            <w:tcW w:w="270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43B6" w:rsidTr="006F2C40">
        <w:trPr>
          <w:cantSplit/>
          <w:trHeight w:val="20"/>
        </w:trPr>
        <w:tc>
          <w:tcPr>
            <w:tcW w:w="270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>заявителя по уплате этих сумм исполненной и</w:t>
            </w:r>
            <w:r w:rsidR="00516CD2">
              <w:rPr>
                <w:sz w:val="18"/>
                <w:szCs w:val="18"/>
                <w:lang w:eastAsia="ar-SA"/>
              </w:rPr>
              <w:t>ли</w:t>
            </w:r>
            <w:r>
              <w:rPr>
                <w:sz w:val="18"/>
                <w:szCs w:val="18"/>
                <w:lang w:eastAsia="ar-SA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43B6" w:rsidTr="006F2C40">
        <w:trPr>
          <w:cantSplit/>
          <w:trHeight w:val="20"/>
        </w:trPr>
        <w:tc>
          <w:tcPr>
            <w:tcW w:w="2704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A743B6" w:rsidRDefault="00A743B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4.1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579" w:type="pc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43B6" w:rsidTr="006F2C40">
        <w:trPr>
          <w:cantSplit/>
          <w:trHeight w:val="20"/>
        </w:trPr>
        <w:tc>
          <w:tcPr>
            <w:tcW w:w="270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ind w:left="105" w:right="120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 xml:space="preserve">5. </w:t>
            </w:r>
            <w:proofErr w:type="gramStart"/>
            <w:r>
              <w:rPr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43B6" w:rsidTr="006F2C40">
        <w:trPr>
          <w:cantSplit/>
          <w:trHeight w:val="20"/>
        </w:trPr>
        <w:tc>
          <w:tcPr>
            <w:tcW w:w="270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 xml:space="preserve">6. </w:t>
            </w:r>
            <w:r>
              <w:rPr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sz w:val="18"/>
                <w:szCs w:val="18"/>
                <w:lang w:eastAsia="ar-SA"/>
              </w:rPr>
              <w:t>в том числе</w:t>
            </w:r>
            <w:r>
              <w:rPr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sz w:val="18"/>
                <w:szCs w:val="18"/>
                <w:lang w:eastAsia="ar-SA"/>
              </w:rPr>
              <w:t>о</w:t>
            </w:r>
            <w:r>
              <w:rPr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  <w:szCs w:val="18"/>
                <w:lang w:eastAsia="ar-SA"/>
              </w:rPr>
              <w:t xml:space="preserve">закупки – для юридического лица. </w:t>
            </w:r>
          </w:p>
        </w:tc>
        <w:tc>
          <w:tcPr>
            <w:tcW w:w="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отсутствие</w:t>
            </w: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Информация отсутствует</w:t>
            </w:r>
          </w:p>
        </w:tc>
      </w:tr>
      <w:tr w:rsidR="00516CD2" w:rsidTr="006F2C40">
        <w:trPr>
          <w:cantSplit/>
          <w:trHeight w:val="20"/>
        </w:trPr>
        <w:tc>
          <w:tcPr>
            <w:tcW w:w="2704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16CD2" w:rsidRDefault="00516CD2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Принадлежность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579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516CD2" w:rsidRDefault="00516CD2" w:rsidP="0061048A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6"/>
                <w:szCs w:val="16"/>
                <w:lang w:eastAsia="ar-SA"/>
              </w:rPr>
              <w:t>декларация</w:t>
            </w: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CD2" w:rsidRDefault="00516CD2" w:rsidP="0061048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16CD2" w:rsidRDefault="00516CD2" w:rsidP="0061048A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Информация продекларирована</w:t>
            </w:r>
          </w:p>
        </w:tc>
      </w:tr>
      <w:tr w:rsidR="00A743B6" w:rsidTr="006F2C40">
        <w:trPr>
          <w:cantSplit/>
          <w:trHeight w:val="20"/>
        </w:trPr>
        <w:tc>
          <w:tcPr>
            <w:tcW w:w="2704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43B6" w:rsidRDefault="006F2C40">
            <w:pPr>
              <w:snapToGrid w:val="0"/>
              <w:ind w:left="120"/>
              <w:jc w:val="both"/>
              <w:rPr>
                <w:color w:val="000000"/>
                <w:kern w:val="2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8</w:t>
            </w:r>
            <w:r w:rsidR="00A743B6">
              <w:rPr>
                <w:color w:val="000000"/>
                <w:sz w:val="18"/>
                <w:szCs w:val="18"/>
                <w:lang w:eastAsia="ar-SA"/>
              </w:rPr>
              <w:t>. Объем предоставленных документов и сведений для участия в аукционе</w:t>
            </w:r>
          </w:p>
        </w:tc>
        <w:tc>
          <w:tcPr>
            <w:tcW w:w="579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в объеме, указанном  в  документации  об  аукционе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Предоставлено в полном объеме</w:t>
            </w:r>
          </w:p>
        </w:tc>
      </w:tr>
      <w:tr w:rsidR="00A743B6" w:rsidTr="006F2C40">
        <w:trPr>
          <w:cantSplit/>
          <w:trHeight w:val="20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A743B6" w:rsidRDefault="00A743B6" w:rsidP="006F2C40">
            <w:pPr>
              <w:suppressAutoHyphens/>
              <w:snapToGrid w:val="0"/>
              <w:ind w:right="120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</w:t>
            </w:r>
            <w:r w:rsidR="006F2C40">
              <w:rPr>
                <w:sz w:val="18"/>
                <w:szCs w:val="18"/>
                <w:lang w:eastAsia="ar-SA"/>
              </w:rPr>
              <w:t>9</w:t>
            </w:r>
            <w:r>
              <w:rPr>
                <w:sz w:val="18"/>
                <w:szCs w:val="18"/>
                <w:lang w:eastAsia="ar-SA"/>
              </w:rPr>
              <w:t xml:space="preserve">. Начальная (максимальная) цена </w:t>
            </w:r>
            <w:r w:rsidR="006F2C40">
              <w:rPr>
                <w:sz w:val="18"/>
                <w:szCs w:val="18"/>
                <w:lang w:eastAsia="ar-SA"/>
              </w:rPr>
              <w:t>договора</w:t>
            </w:r>
            <w:r>
              <w:rPr>
                <w:sz w:val="18"/>
                <w:szCs w:val="18"/>
                <w:lang w:eastAsia="ar-SA"/>
              </w:rPr>
              <w:t xml:space="preserve"> —</w:t>
            </w:r>
            <w:r>
              <w:rPr>
                <w:b/>
                <w:sz w:val="18"/>
                <w:szCs w:val="18"/>
                <w:lang w:eastAsia="ar-SA"/>
              </w:rPr>
              <w:t xml:space="preserve"> 856 000,00 (Восемьсот пятьдесят шесть</w:t>
            </w:r>
            <w:r w:rsidR="00516CD2">
              <w:rPr>
                <w:b/>
                <w:sz w:val="18"/>
                <w:szCs w:val="18"/>
                <w:lang w:eastAsia="ar-SA"/>
              </w:rPr>
              <w:t xml:space="preserve"> тысяч</w:t>
            </w:r>
            <w:r>
              <w:rPr>
                <w:b/>
                <w:sz w:val="18"/>
                <w:szCs w:val="18"/>
                <w:lang w:eastAsia="ar-SA"/>
              </w:rPr>
              <w:t>) рублей.</w:t>
            </w:r>
          </w:p>
        </w:tc>
        <w:tc>
          <w:tcPr>
            <w:tcW w:w="579" w:type="pct"/>
          </w:tcPr>
          <w:p w:rsidR="00A743B6" w:rsidRDefault="00A743B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798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3B6" w:rsidRDefault="00A743B6">
            <w:pPr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91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743B6" w:rsidRDefault="00A743B6">
            <w:pPr>
              <w:suppressAutoHyphens/>
              <w:snapToGrid w:val="0"/>
              <w:ind w:left="11"/>
              <w:jc w:val="center"/>
              <w:rPr>
                <w:color w:val="000000"/>
                <w:sz w:val="18"/>
                <w:szCs w:val="18"/>
                <w:lang w:eastAsia="ar-SA"/>
              </w:rPr>
            </w:pPr>
          </w:p>
        </w:tc>
      </w:tr>
      <w:tr w:rsidR="00A743B6" w:rsidTr="006F2C40">
        <w:trPr>
          <w:cantSplit/>
          <w:trHeight w:val="244"/>
        </w:trPr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Default="006F2C40">
            <w:pPr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  <w:r w:rsidR="00A743B6">
              <w:rPr>
                <w:sz w:val="18"/>
                <w:szCs w:val="18"/>
                <w:lang w:eastAsia="ar-SA"/>
              </w:rPr>
              <w:t>. Цена</w:t>
            </w:r>
            <w:r w:rsidR="00516CD2">
              <w:rPr>
                <w:sz w:val="18"/>
                <w:szCs w:val="18"/>
                <w:lang w:eastAsia="ar-SA"/>
              </w:rPr>
              <w:t>,</w:t>
            </w:r>
            <w:r w:rsidR="00A743B6">
              <w:rPr>
                <w:sz w:val="18"/>
                <w:szCs w:val="18"/>
                <w:lang w:eastAsia="ar-SA"/>
              </w:rPr>
              <w:t xml:space="preserve"> предложенная участником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693 360.00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Default="00A743B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697 640.00</w:t>
            </w:r>
          </w:p>
        </w:tc>
      </w:tr>
      <w:tr w:rsidR="00A743B6" w:rsidTr="006F2C40">
        <w:trPr>
          <w:cantSplit/>
          <w:trHeight w:val="244"/>
        </w:trPr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Default="00A743B6" w:rsidP="006F2C40">
            <w:pPr>
              <w:suppressAutoHyphens/>
              <w:snapToGrid w:val="0"/>
              <w:ind w:left="105" w:right="120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  <w:r w:rsidR="006F2C40">
              <w:rPr>
                <w:sz w:val="18"/>
                <w:szCs w:val="18"/>
                <w:lang w:eastAsia="ar-SA"/>
              </w:rPr>
              <w:t>1</w:t>
            </w:r>
            <w:r>
              <w:rPr>
                <w:sz w:val="18"/>
                <w:szCs w:val="18"/>
                <w:lang w:eastAsia="ar-SA"/>
              </w:rPr>
              <w:t>. Номер по ранжированию по итогам аукциона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Pr="006F2C40" w:rsidRDefault="00A743B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 w:rsidRPr="006F2C40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3B6" w:rsidRPr="006F2C40" w:rsidRDefault="00A743B6">
            <w:pPr>
              <w:suppressAutoHyphens/>
              <w:snapToGrid w:val="0"/>
              <w:ind w:left="105" w:right="120"/>
              <w:jc w:val="center"/>
              <w:rPr>
                <w:sz w:val="18"/>
                <w:szCs w:val="18"/>
                <w:lang w:eastAsia="ar-SA"/>
              </w:rPr>
            </w:pPr>
            <w:r w:rsidRPr="006F2C40">
              <w:rPr>
                <w:sz w:val="18"/>
                <w:szCs w:val="18"/>
                <w:lang w:eastAsia="ar-SA"/>
              </w:rPr>
              <w:t>2</w:t>
            </w:r>
          </w:p>
        </w:tc>
      </w:tr>
    </w:tbl>
    <w:p w:rsidR="00A743B6" w:rsidRDefault="00A743B6"/>
    <w:sectPr w:rsidR="00A743B6" w:rsidSect="00C8685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23"/>
    <w:rsid w:val="0007355C"/>
    <w:rsid w:val="00312D90"/>
    <w:rsid w:val="00445D55"/>
    <w:rsid w:val="004A6FF1"/>
    <w:rsid w:val="00516CD2"/>
    <w:rsid w:val="006F2C40"/>
    <w:rsid w:val="00823F29"/>
    <w:rsid w:val="00845302"/>
    <w:rsid w:val="00A743B6"/>
    <w:rsid w:val="00AD7DBE"/>
    <w:rsid w:val="00BB75D2"/>
    <w:rsid w:val="00C14923"/>
    <w:rsid w:val="00C86855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8685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86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C86855"/>
    <w:pPr>
      <w:ind w:left="720"/>
      <w:contextualSpacing/>
    </w:pPr>
  </w:style>
  <w:style w:type="table" w:styleId="a6">
    <w:name w:val="Table Grid"/>
    <w:basedOn w:val="a1"/>
    <w:uiPriority w:val="59"/>
    <w:rsid w:val="00516C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D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D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8685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C86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C86855"/>
    <w:pPr>
      <w:ind w:left="720"/>
      <w:contextualSpacing/>
    </w:pPr>
  </w:style>
  <w:style w:type="table" w:styleId="a6">
    <w:name w:val="Table Grid"/>
    <w:basedOn w:val="a1"/>
    <w:uiPriority w:val="59"/>
    <w:rsid w:val="00516CD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D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D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2019-07-15T10:44:00Z</cp:lastPrinted>
  <dcterms:created xsi:type="dcterms:W3CDTF">2019-07-12T10:34:00Z</dcterms:created>
  <dcterms:modified xsi:type="dcterms:W3CDTF">2019-07-15T10:48:00Z</dcterms:modified>
</cp:coreProperties>
</file>