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7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sub_37736628"/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A3EFC89" wp14:editId="7D6AD9E6">
            <wp:extent cx="581025" cy="7239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pacing w:val="20"/>
          <w:sz w:val="32"/>
          <w:szCs w:val="32"/>
          <w:lang w:eastAsia="ru-RU"/>
        </w:rPr>
      </w:pPr>
      <w:r w:rsidRPr="00121376">
        <w:rPr>
          <w:rFonts w:ascii="Times New Roman" w:eastAsia="Times New Roman" w:hAnsi="Times New Roman"/>
          <w:spacing w:val="20"/>
          <w:sz w:val="32"/>
          <w:szCs w:val="32"/>
          <w:lang w:eastAsia="ru-RU"/>
        </w:rPr>
        <w:t>ДУМА ГОРОДА ЮГОРСКА</w:t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1376">
        <w:rPr>
          <w:rFonts w:ascii="Times New Roman" w:eastAsia="Times New Roman" w:hAnsi="Times New Roman"/>
          <w:sz w:val="28"/>
          <w:szCs w:val="28"/>
          <w:lang w:eastAsia="ru-RU"/>
        </w:rPr>
        <w:t>Ханты-Ма</w:t>
      </w:r>
      <w:r w:rsidR="00E62970">
        <w:rPr>
          <w:rFonts w:ascii="Times New Roman" w:eastAsia="Times New Roman" w:hAnsi="Times New Roman"/>
          <w:sz w:val="28"/>
          <w:szCs w:val="28"/>
          <w:lang w:eastAsia="ru-RU"/>
        </w:rPr>
        <w:t>нсийского  автономного округа-</w:t>
      </w:r>
      <w:r w:rsidRPr="00121376">
        <w:rPr>
          <w:rFonts w:ascii="Times New Roman" w:eastAsia="Times New Roman" w:hAnsi="Times New Roman"/>
          <w:sz w:val="28"/>
          <w:szCs w:val="28"/>
          <w:lang w:eastAsia="ru-RU"/>
        </w:rPr>
        <w:t>Югры</w:t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21376" w:rsidRPr="00121376" w:rsidRDefault="00121376" w:rsidP="00884237">
      <w:pPr>
        <w:ind w:firstLine="0"/>
        <w:jc w:val="center"/>
        <w:outlineLvl w:val="5"/>
        <w:rPr>
          <w:rFonts w:ascii="Times New Roman" w:eastAsia="Times New Roman" w:hAnsi="Times New Roman"/>
          <w:bCs/>
          <w:sz w:val="36"/>
          <w:szCs w:val="36"/>
          <w:lang w:eastAsia="ru-RU"/>
        </w:rPr>
      </w:pPr>
      <w:r w:rsidRPr="00121376">
        <w:rPr>
          <w:rFonts w:ascii="Times New Roman" w:eastAsia="Times New Roman" w:hAnsi="Times New Roman"/>
          <w:bCs/>
          <w:sz w:val="36"/>
          <w:szCs w:val="36"/>
          <w:lang w:eastAsia="ru-RU"/>
        </w:rPr>
        <w:t>РЕШЕНИЕ</w:t>
      </w: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jc w:val="center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от </w:t>
      </w:r>
      <w:r w:rsidR="00E629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27 ноября 2018 года </w:t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</w:t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</w:t>
      </w:r>
      <w:r w:rsidR="00E629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</w:t>
      </w:r>
      <w:r w:rsidRPr="001213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07344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85</w:t>
      </w:r>
    </w:p>
    <w:p w:rsidR="00121376" w:rsidRPr="00121376" w:rsidRDefault="00121376" w:rsidP="00121376">
      <w:pPr>
        <w:ind w:firstLine="0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состоянии преступности и правонарушений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среди несовершеннолетних и в отношении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них. Реализация профилактических мероприятий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устранению причин и условий, способствующих </w:t>
      </w:r>
    </w:p>
    <w:p w:rsidR="00854149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совершению преступлений и правонарушений </w:t>
      </w:r>
    </w:p>
    <w:p w:rsidR="00121376" w:rsidRPr="00121376" w:rsidRDefault="00854149" w:rsidP="00121376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/>
          <w:sz w:val="24"/>
          <w:szCs w:val="24"/>
          <w:lang w:eastAsia="ru-RU"/>
        </w:rPr>
        <w:t>несовершеннолетними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201</w:t>
      </w:r>
      <w:r w:rsidR="007E763A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году</w:t>
      </w:r>
    </w:p>
    <w:p w:rsidR="00121376" w:rsidRPr="00121376" w:rsidRDefault="00121376" w:rsidP="00121376">
      <w:pPr>
        <w:ind w:firstLine="426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bookmarkEnd w:id="0"/>
    <w:p w:rsidR="00121376" w:rsidRPr="00121376" w:rsidRDefault="00121376" w:rsidP="0012137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Рассмотрев информацию Территориальной комиссии по делам несовершеннолетних и защите их прав при администрации города Югорска</w:t>
      </w:r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121376" w:rsidRPr="00121376" w:rsidRDefault="00121376" w:rsidP="00121376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ДУМА ГОРОДА ЮГОРСКА РЕШИЛА:</w:t>
      </w:r>
    </w:p>
    <w:p w:rsidR="00121376" w:rsidRPr="00121376" w:rsidRDefault="00121376" w:rsidP="00121376">
      <w:pPr>
        <w:ind w:firstLine="426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2"/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Принять к сведению информацию </w:t>
      </w:r>
      <w:r w:rsidR="00E70FD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54149"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состоянии преступности и правонарушений среди несовершеннолетних и в отношении них. Реализация профилактических мероприятий по устранению причин и условий, способствующих совершению преступлений и правонарушений несовершеннолетними</w:t>
      </w:r>
      <w:r w:rsidR="00597A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54149">
        <w:rPr>
          <w:rFonts w:ascii="Times New Roman" w:eastAsia="Times New Roman" w:hAnsi="Times New Roman"/>
          <w:sz w:val="24"/>
          <w:szCs w:val="24"/>
          <w:lang w:eastAsia="ru-RU"/>
        </w:rPr>
        <w:t>в 201</w:t>
      </w:r>
      <w:r w:rsidR="007E763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</w:t>
      </w:r>
      <w:r w:rsidR="00597AD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F5E98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97ADB">
        <w:rPr>
          <w:rFonts w:ascii="Times New Roman" w:eastAsia="Times New Roman" w:hAnsi="Times New Roman"/>
          <w:sz w:val="24"/>
          <w:szCs w:val="24"/>
          <w:lang w:eastAsia="ru-RU"/>
        </w:rPr>
        <w:t>риложение)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1376" w:rsidRPr="00121376" w:rsidRDefault="00121376" w:rsidP="00121376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 xml:space="preserve">2. Настоящее решение вступает в силу после его </w:t>
      </w:r>
      <w:r w:rsidR="00BC18FE">
        <w:rPr>
          <w:rFonts w:ascii="Times New Roman" w:eastAsia="Times New Roman" w:hAnsi="Times New Roman"/>
          <w:sz w:val="24"/>
          <w:szCs w:val="24"/>
          <w:lang w:eastAsia="ru-RU"/>
        </w:rPr>
        <w:t>подписания</w:t>
      </w:r>
      <w:r w:rsidRPr="0012137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1376" w:rsidRDefault="00121376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970" w:rsidRDefault="00E62970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970" w:rsidRDefault="00E62970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970" w:rsidRDefault="00E62970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62970" w:rsidRDefault="00E62970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18FE" w:rsidRPr="00121376" w:rsidRDefault="00BC18FE" w:rsidP="00121376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1376" w:rsidRPr="00121376" w:rsidRDefault="00121376" w:rsidP="00121376">
      <w:pPr>
        <w:ind w:firstLine="0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Председатель Думы города Югорска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="00FC3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="00E629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В.А.</w:t>
      </w:r>
      <w:r w:rsidR="00FC3DF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21376">
        <w:rPr>
          <w:rFonts w:ascii="Times New Roman" w:eastAsia="Times New Roman" w:hAnsi="Times New Roman"/>
          <w:b/>
          <w:sz w:val="24"/>
          <w:szCs w:val="24"/>
          <w:lang w:eastAsia="ru-RU"/>
        </w:rPr>
        <w:t>Климин</w:t>
      </w: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AB3861" w:rsidRDefault="00AB3861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</w:p>
    <w:p w:rsidR="00E62970" w:rsidRPr="00E62970" w:rsidRDefault="00E62970" w:rsidP="00E62970">
      <w:pPr>
        <w:suppressAutoHyphens/>
        <w:ind w:firstLine="0"/>
        <w:rPr>
          <w:rFonts w:ascii="Times New Roman" w:hAnsi="Times New Roman"/>
          <w:bCs/>
          <w:kern w:val="1"/>
          <w:sz w:val="24"/>
          <w:szCs w:val="24"/>
          <w:u w:val="single"/>
        </w:rPr>
      </w:pPr>
      <w:r w:rsidRPr="00E62970">
        <w:rPr>
          <w:rFonts w:ascii="Times New Roman" w:hAnsi="Times New Roman"/>
          <w:bCs/>
          <w:kern w:val="1"/>
          <w:sz w:val="24"/>
          <w:szCs w:val="24"/>
          <w:u w:val="single"/>
        </w:rPr>
        <w:t>«27» ноября 2018 года</w:t>
      </w:r>
    </w:p>
    <w:p w:rsidR="00E62970" w:rsidRPr="00E62970" w:rsidRDefault="00E62970" w:rsidP="00E62970">
      <w:pPr>
        <w:suppressAutoHyphens/>
        <w:ind w:firstLine="0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E62970">
        <w:rPr>
          <w:rFonts w:ascii="Times New Roman" w:hAnsi="Times New Roman"/>
          <w:bCs/>
          <w:kern w:val="1"/>
          <w:sz w:val="24"/>
          <w:szCs w:val="24"/>
        </w:rPr>
        <w:t xml:space="preserve">   (дата подписания)</w:t>
      </w:r>
      <w:r w:rsidRPr="00E62970">
        <w:rPr>
          <w:rFonts w:ascii="Times New Roman" w:hAnsi="Times New Roman"/>
          <w:bCs/>
          <w:kern w:val="1"/>
          <w:sz w:val="20"/>
          <w:szCs w:val="24"/>
        </w:rPr>
        <w:tab/>
      </w:r>
    </w:p>
    <w:p w:rsidR="00E62970" w:rsidRPr="00E62970" w:rsidRDefault="00E62970" w:rsidP="00E62970">
      <w:pPr>
        <w:widowControl w:val="0"/>
        <w:suppressAutoHyphens/>
        <w:autoSpaceDE w:val="0"/>
        <w:autoSpaceDN w:val="0"/>
        <w:ind w:left="6663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E62970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lastRenderedPageBreak/>
        <w:t xml:space="preserve">Приложение к решению </w:t>
      </w:r>
    </w:p>
    <w:p w:rsidR="00E62970" w:rsidRPr="00E62970" w:rsidRDefault="00E62970" w:rsidP="00E62970">
      <w:pPr>
        <w:widowControl w:val="0"/>
        <w:suppressAutoHyphens/>
        <w:autoSpaceDE w:val="0"/>
        <w:autoSpaceDN w:val="0"/>
        <w:ind w:left="6663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E62970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Думы города Югорска </w:t>
      </w:r>
    </w:p>
    <w:p w:rsidR="00E62970" w:rsidRDefault="00E62970" w:rsidP="00E62970">
      <w:pPr>
        <w:widowControl w:val="0"/>
        <w:suppressAutoHyphens/>
        <w:autoSpaceDE w:val="0"/>
        <w:autoSpaceDN w:val="0"/>
        <w:ind w:left="6663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 w:rsidRPr="00E62970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 xml:space="preserve">от 27 ноября 2018 года № </w:t>
      </w:r>
      <w:r w:rsidR="00073447"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  <w:t>85</w:t>
      </w:r>
      <w:bookmarkStart w:id="2" w:name="_GoBack"/>
      <w:bookmarkEnd w:id="2"/>
    </w:p>
    <w:p w:rsidR="00E62970" w:rsidRDefault="00E62970" w:rsidP="00E62970">
      <w:pPr>
        <w:widowControl w:val="0"/>
        <w:suppressAutoHyphens/>
        <w:autoSpaceDE w:val="0"/>
        <w:autoSpaceDN w:val="0"/>
        <w:ind w:left="6663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</w:p>
    <w:p w:rsidR="00854149" w:rsidRPr="00E62970" w:rsidRDefault="00E62970" w:rsidP="00E62970">
      <w:pPr>
        <w:widowControl w:val="0"/>
        <w:suppressAutoHyphens/>
        <w:autoSpaceDE w:val="0"/>
        <w:autoSpaceDN w:val="0"/>
        <w:ind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854149" w:rsidRPr="00854149">
        <w:rPr>
          <w:rFonts w:ascii="Times New Roman" w:eastAsiaTheme="minorHAnsi" w:hAnsi="Times New Roman"/>
          <w:b/>
          <w:noProof/>
          <w:sz w:val="24"/>
          <w:szCs w:val="24"/>
          <w:lang w:eastAsia="ru-RU"/>
        </w:rPr>
        <w:t xml:space="preserve"> состоянии преступности и правонарушений среди несовершеннолетних и в отношении них. Реализация профилактических мероприятий по устранению причин и условий, способствующих совершению преступлений и правонарушений несовершеннолетними</w:t>
      </w:r>
    </w:p>
    <w:p w:rsidR="00854149" w:rsidRPr="00854149" w:rsidRDefault="00854149" w:rsidP="00854149">
      <w:pPr>
        <w:spacing w:line="36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54149" w:rsidRPr="00854149" w:rsidRDefault="00854149" w:rsidP="00854149">
      <w:pPr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В городе Югорске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 xml:space="preserve"> на 01.01.201</w:t>
      </w:r>
      <w:r w:rsidR="007E763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постоянно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проживает </w:t>
      </w:r>
      <w:r w:rsidRPr="00854149">
        <w:rPr>
          <w:rFonts w:ascii="Times New Roman" w:eastAsiaTheme="minorHAnsi" w:hAnsi="Times New Roman"/>
          <w:bCs/>
          <w:sz w:val="24"/>
          <w:szCs w:val="24"/>
        </w:rPr>
        <w:t>9</w:t>
      </w:r>
      <w:r w:rsidR="007B6B65">
        <w:rPr>
          <w:rFonts w:ascii="Times New Roman" w:eastAsiaTheme="minorHAnsi" w:hAnsi="Times New Roman"/>
          <w:bCs/>
          <w:sz w:val="24"/>
          <w:szCs w:val="24"/>
        </w:rPr>
        <w:t>811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несовершеннолетних, данный показатель имеет положительную динамику роста:</w:t>
      </w:r>
    </w:p>
    <w:p w:rsidR="00854149" w:rsidRPr="00854149" w:rsidRDefault="00854149" w:rsidP="00854149">
      <w:pPr>
        <w:ind w:firstLine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048C401" wp14:editId="629447C2">
            <wp:extent cx="6038850" cy="2924175"/>
            <wp:effectExtent l="0" t="0" r="19050" b="0"/>
            <wp:docPr id="11" name="Объект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54149" w:rsidRPr="00854149" w:rsidRDefault="00854149" w:rsidP="00854149">
      <w:pPr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Территориальной комиссией по делам несовершеннолетних и защите их прав при администрации города Югорска (далее - Комиссия) ведется единый банк данных семей, находящихся в социально опасном положении:</w:t>
      </w:r>
    </w:p>
    <w:p w:rsidR="00854149" w:rsidRPr="00854149" w:rsidRDefault="00854149" w:rsidP="0085414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49" w:rsidRPr="00854149" w:rsidRDefault="007E763A" w:rsidP="0085414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2F2085" wp14:editId="62D50F77">
            <wp:extent cx="5940425" cy="338391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54149" w:rsidRPr="00854149" w:rsidRDefault="00854149" w:rsidP="00854149">
      <w:pPr>
        <w:spacing w:after="200" w:line="276" w:lineRule="auto"/>
        <w:ind w:firstLine="0"/>
        <w:jc w:val="lef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i/>
          <w:sz w:val="24"/>
          <w:szCs w:val="24"/>
          <w:lang w:eastAsia="ru-RU"/>
        </w:rPr>
        <w:br w:type="page"/>
      </w:r>
    </w:p>
    <w:p w:rsidR="00854149" w:rsidRPr="00854149" w:rsidRDefault="00854149" w:rsidP="00854149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Категория несовершеннолетних, находящихся в социально опасном положении, всего </w:t>
      </w:r>
      <w:r w:rsidR="007E763A">
        <w:rPr>
          <w:rFonts w:ascii="Times New Roman" w:eastAsia="Times New Roman" w:hAnsi="Times New Roman"/>
          <w:sz w:val="24"/>
          <w:szCs w:val="24"/>
          <w:lang w:eastAsia="ru-RU"/>
        </w:rPr>
        <w:t>47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детей (на 01.10.201</w:t>
      </w:r>
      <w:r w:rsidR="007E763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):</w:t>
      </w:r>
    </w:p>
    <w:p w:rsidR="00854149" w:rsidRPr="00854149" w:rsidRDefault="00854149" w:rsidP="0085414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49" w:rsidRPr="00854149" w:rsidRDefault="007E763A" w:rsidP="0085414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99EF63" wp14:editId="5B81AB1D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4149" w:rsidRPr="00854149" w:rsidRDefault="00854149" w:rsidP="0085414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763A" w:rsidRDefault="007E763A" w:rsidP="0085414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49" w:rsidRPr="00854149" w:rsidRDefault="00854149" w:rsidP="00854149">
      <w:pPr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Состояние подростковой преступности в городе Югорске:</w:t>
      </w:r>
    </w:p>
    <w:p w:rsidR="00854149" w:rsidRPr="00854149" w:rsidRDefault="00854149" w:rsidP="0085414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438E7E5" wp14:editId="6624F0F0">
            <wp:extent cx="6143625" cy="279082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54149" w:rsidRPr="00854149" w:rsidRDefault="00854149" w:rsidP="0085414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861" w:rsidRDefault="00AB3861" w:rsidP="00854149">
      <w:pPr>
        <w:suppressAutoHyphens/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3861" w:rsidRDefault="00AB3861" w:rsidP="00854149">
      <w:pPr>
        <w:suppressAutoHyphens/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4149" w:rsidRPr="00854149" w:rsidRDefault="00854149" w:rsidP="00854149">
      <w:pPr>
        <w:suppressAutoHyphens/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Количество рассмотрения дел о правонарушениях несовершеннолетних, родителей, иных граждан на заседании Комиссии:</w:t>
      </w:r>
    </w:p>
    <w:p w:rsidR="00854149" w:rsidRPr="00854149" w:rsidRDefault="00854149" w:rsidP="00854149">
      <w:pPr>
        <w:suppressAutoHyphens/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23C2298" wp14:editId="48080147">
            <wp:extent cx="6076950" cy="1679279"/>
            <wp:effectExtent l="0" t="0" r="0" b="0"/>
            <wp:docPr id="15" name="Объект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4149" w:rsidRPr="00854149" w:rsidRDefault="00854149" w:rsidP="00854149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итогам 9 месяцев 201</w:t>
      </w:r>
      <w:r w:rsidR="00DE64C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зарегистрировано преступлений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совершенных несовершеннолетними - 14 (</w:t>
      </w:r>
      <w:r w:rsidR="00441010" w:rsidRPr="00441010">
        <w:rPr>
          <w:rFonts w:ascii="Times New Roman" w:eastAsia="Times New Roman" w:hAnsi="Times New Roman"/>
          <w:sz w:val="24"/>
          <w:szCs w:val="24"/>
          <w:lang w:eastAsia="ru-RU"/>
        </w:rPr>
        <w:t>9 мес</w:t>
      </w:r>
      <w:r w:rsidR="0044101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DE64C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="00441010">
        <w:rPr>
          <w:rFonts w:ascii="Times New Roman" w:eastAsia="Times New Roman" w:hAnsi="Times New Roman"/>
          <w:sz w:val="24"/>
          <w:szCs w:val="24"/>
          <w:lang w:eastAsia="ru-RU"/>
        </w:rPr>
        <w:t>14)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010" w:rsidRDefault="00854149" w:rsidP="00441010">
      <w:pPr>
        <w:spacing w:line="276" w:lineRule="auto"/>
        <w:ind w:firstLine="708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За 9 месяцев 201</w:t>
      </w:r>
      <w:r w:rsidR="00F57FA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изменилась структура преступлений: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441010" w:rsidRPr="00441010" w:rsidRDefault="00441010" w:rsidP="00441010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010">
        <w:rPr>
          <w:rFonts w:ascii="Times New Roman" w:eastAsia="Times New Roman" w:hAnsi="Times New Roman"/>
          <w:sz w:val="24"/>
          <w:szCs w:val="24"/>
          <w:lang w:eastAsia="ru-RU"/>
        </w:rPr>
        <w:t>- отмечается снижение преступлений, связанных с безопасностью дорожного движения</w:t>
      </w:r>
      <w:r w:rsidR="006771DB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причинением телесных повреждений</w:t>
      </w:r>
      <w:r w:rsidRPr="00441010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4149" w:rsidRPr="00854149" w:rsidRDefault="00441010" w:rsidP="00441010">
      <w:pPr>
        <w:spacing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1010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произошёл </w:t>
      </w:r>
      <w:r w:rsidR="006771DB">
        <w:rPr>
          <w:rFonts w:ascii="Times New Roman" w:eastAsia="Times New Roman" w:hAnsi="Times New Roman"/>
          <w:sz w:val="24"/>
          <w:szCs w:val="24"/>
          <w:lang w:eastAsia="ru-RU"/>
        </w:rPr>
        <w:t xml:space="preserve">небольшой </w:t>
      </w:r>
      <w:r w:rsidRPr="00441010">
        <w:rPr>
          <w:rFonts w:ascii="Times New Roman" w:eastAsia="Times New Roman" w:hAnsi="Times New Roman"/>
          <w:sz w:val="24"/>
          <w:szCs w:val="24"/>
          <w:lang w:eastAsia="ru-RU"/>
        </w:rPr>
        <w:t>рост преступлений, связанных с угоном автотранспорта, допущен грабеж:</w:t>
      </w:r>
    </w:p>
    <w:p w:rsidR="00854149" w:rsidRPr="00854149" w:rsidRDefault="00854149" w:rsidP="00854149">
      <w:pPr>
        <w:spacing w:line="276" w:lineRule="auto"/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625D562" wp14:editId="24781394">
            <wp:extent cx="2933700" cy="2438400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854149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D93DBB9" wp14:editId="1C612293">
            <wp:extent cx="2933700" cy="244792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54149" w:rsidRPr="00854149" w:rsidRDefault="00854149" w:rsidP="000B0DD2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Theme="minorHAnsi" w:hAnsi="Times New Roman"/>
          <w:noProof/>
          <w:lang w:eastAsia="ru-RU"/>
        </w:rPr>
        <w:tab/>
      </w:r>
      <w:r w:rsidR="00DE64C7" w:rsidRPr="00DE64C7">
        <w:rPr>
          <w:rFonts w:ascii="Times New Roman" w:eastAsia="Times New Roman" w:hAnsi="Times New Roman"/>
          <w:sz w:val="24"/>
          <w:szCs w:val="24"/>
          <w:lang w:eastAsia="ru-RU"/>
        </w:rPr>
        <w:t>В отчетном периоде зарегистрировано преступления, совершенные 1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E64C7" w:rsidRPr="00DE64C7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учащимся города Югорска. С выявленными подростками организована индивидуальная профилактическая работа: 3 подростков осуждены к мерам ответственности, не связанной с лишением свободы и обязанностью пройти принудительное лечение в Советской психоневрологической больнице, </w:t>
      </w:r>
      <w:r w:rsidR="000B0DD2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E64C7" w:rsidRPr="00DE64C7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освобождены от ответственнос</w:t>
      </w:r>
      <w:r w:rsidR="000B0DD2">
        <w:rPr>
          <w:rFonts w:ascii="Times New Roman" w:eastAsia="Times New Roman" w:hAnsi="Times New Roman"/>
          <w:sz w:val="24"/>
          <w:szCs w:val="24"/>
          <w:lang w:eastAsia="ru-RU"/>
        </w:rPr>
        <w:t>ти в связи с примирением сторон.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Таким образом, за 9 месяцев 201</w:t>
      </w:r>
      <w:r w:rsidR="00896107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802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отмечается рост</w:t>
      </w:r>
      <w:r w:rsidR="00A802D8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подростковой </w:t>
      </w:r>
      <w:r w:rsidR="00A802D8"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преступности,</w:t>
      </w:r>
      <w:r w:rsidR="00A802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основные преступления совершены 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небольшой тяжести (краж</w:t>
      </w:r>
      <w:r w:rsidR="00A802D8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), которые, как правило, прекращаются в суде по примирению сторон, так как совершаются впервые с возмещением причиненного потерпевшему вреда.</w:t>
      </w:r>
    </w:p>
    <w:p w:rsid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По каждому преступлению, совершенн</w:t>
      </w:r>
      <w:r w:rsidR="005A7A40">
        <w:rPr>
          <w:rFonts w:ascii="Times New Roman" w:eastAsia="Times New Roman" w:hAnsi="Times New Roman"/>
          <w:bCs/>
          <w:sz w:val="24"/>
          <w:szCs w:val="24"/>
          <w:lang w:eastAsia="ru-RU"/>
        </w:rPr>
        <w:t>ому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несовершеннолетними, изучены причины и условия, способствующие их совершению, приняты меры по их устранению, в том числе привлечены </w:t>
      </w:r>
      <w:r w:rsidR="00773F9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родител</w:t>
      </w:r>
      <w:r w:rsidR="006771DB">
        <w:rPr>
          <w:rFonts w:ascii="Times New Roman" w:eastAsia="Times New Roman" w:hAnsi="Times New Roman"/>
          <w:bCs/>
          <w:sz w:val="24"/>
          <w:szCs w:val="24"/>
          <w:lang w:eastAsia="ru-RU"/>
        </w:rPr>
        <w:t>ей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ненадлежащее исполнение родительских обязанностей, с </w:t>
      </w:r>
      <w:r w:rsidR="00773F94">
        <w:rPr>
          <w:rFonts w:ascii="Times New Roman" w:eastAsia="Times New Roman" w:hAnsi="Times New Roman"/>
          <w:bCs/>
          <w:sz w:val="24"/>
          <w:szCs w:val="24"/>
          <w:lang w:eastAsia="ru-RU"/>
        </w:rPr>
        <w:t>9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подростками проводилась либо проводиться индивидуальная профилактическая работа</w:t>
      </w:r>
      <w:r w:rsidR="004C3467">
        <w:rPr>
          <w:rFonts w:ascii="Times New Roman" w:eastAsia="Times New Roman" w:hAnsi="Times New Roman"/>
          <w:bCs/>
          <w:sz w:val="24"/>
          <w:szCs w:val="24"/>
          <w:lang w:eastAsia="ru-RU"/>
        </w:rPr>
        <w:t>, направленная на предупреждение повторных преступлений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9E23FC" w:rsidRPr="009E23FC" w:rsidRDefault="009E23FC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23FC">
        <w:rPr>
          <w:rFonts w:ascii="Times New Roman" w:eastAsia="Times New Roman" w:hAnsi="Times New Roman"/>
          <w:bCs/>
          <w:sz w:val="24"/>
          <w:szCs w:val="24"/>
          <w:lang w:eastAsia="ru-RU"/>
        </w:rPr>
        <w:t>За отчетный период в отношении несовершеннолетних было сове</w:t>
      </w:r>
      <w:r w:rsidR="00A802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ршено преступлений – </w:t>
      </w:r>
      <w:r w:rsidR="007B6B65">
        <w:rPr>
          <w:rFonts w:ascii="Times New Roman" w:eastAsia="Times New Roman" w:hAnsi="Times New Roman"/>
          <w:bCs/>
          <w:sz w:val="24"/>
          <w:szCs w:val="24"/>
          <w:lang w:eastAsia="ru-RU"/>
        </w:rPr>
        <w:t>27</w:t>
      </w:r>
      <w:r w:rsidR="00A802D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5A7A4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9 месяцев </w:t>
      </w:r>
      <w:r w:rsidRPr="009E23F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2017 – </w:t>
      </w:r>
      <w:r w:rsidR="005A7A40">
        <w:rPr>
          <w:rFonts w:ascii="Times New Roman" w:eastAsia="Times New Roman" w:hAnsi="Times New Roman"/>
          <w:bCs/>
          <w:sz w:val="24"/>
          <w:szCs w:val="24"/>
          <w:lang w:eastAsia="ru-RU"/>
        </w:rPr>
        <w:t>23</w:t>
      </w:r>
      <w:r w:rsidRPr="009E23FC">
        <w:rPr>
          <w:rFonts w:ascii="Times New Roman" w:eastAsia="Times New Roman" w:hAnsi="Times New Roman"/>
          <w:bCs/>
          <w:sz w:val="24"/>
          <w:szCs w:val="24"/>
          <w:lang w:eastAsia="ru-RU"/>
        </w:rPr>
        <w:t>) из них:</w:t>
      </w:r>
    </w:p>
    <w:p w:rsidR="005A7A40" w:rsidRDefault="000B0DD2" w:rsidP="000B0DD2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A7A40" w:rsidRPr="005A7A4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4A634AF" wp14:editId="673FF17E">
            <wp:extent cx="2333625" cy="31527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5A7A40" w:rsidRPr="005A7A4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029480C" wp14:editId="7ABDDC35">
            <wp:extent cx="2247900" cy="314325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B0DD2" w:rsidRDefault="000B0DD2" w:rsidP="00C7519C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>емь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ям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пострадавш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 xml:space="preserve">, с учетом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их 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>мнения и потребностей оказа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Pr="000B0DD2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реабилитационн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ая психологическая помощь.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В отчетном периоде проведено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заседаний </w:t>
      </w:r>
      <w:r w:rsidR="00C30E60">
        <w:rPr>
          <w:rFonts w:ascii="Times New Roman" w:eastAsia="Times New Roman" w:hAnsi="Times New Roman"/>
          <w:sz w:val="24"/>
          <w:szCs w:val="24"/>
          <w:lang w:eastAsia="ru-RU"/>
        </w:rPr>
        <w:t>Комисси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, в ходе которых рассмотрен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191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 об административных правонарушениях в отношении несовершеннолетних, родителей и иных лиц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>. И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з них в отношении: 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68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родителей, законных представителей, не исполняющих обязанности по воспитанию, обучению, содержанию, защите прав и законных интересов несовершеннолетних (ч. 1 ст. 5.35 КоАП РФ), назначены административные наказания в виде предупреждения и штрафов в размере от 100 до 500 рублей,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материал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прекращено;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49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родителя привлечены к административной ответственности по ст. 20.22 КоАП РФ за распитие своими детьми, в возрасте до 16 лет, алкогольных напитков и пива в общественных местах, 1 материал прекращен в связи с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истечением срока давности привлечения к ответственности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подростков привлечены к ответственности по ч. 1 ст. 20.20 КоАП РФ за распитие спиртных напитков в общественных местах;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 привлечены к ответственности по ст.20.21 КоАП РФ за нахождение в общественном месте в состоянии алкогольного опьянения, оскорбляющем человеческое достоинство и общественную нравственность;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 привлечены к административной ответственности по ч. 5 ст. 11.1 КоАП РФ за переход железнодорожных путей в неположенном месте;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подростка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привлечены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ст. 7.27 К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оАП РФ по факту мелкого хищения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подростка привлечены по ст. 6.1.1 КоАП РФ по факту нанесения побоев;</w:t>
      </w:r>
    </w:p>
    <w:p w:rsid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- 1 подросток привлечен по ст. 6.</w:t>
      </w:r>
      <w:r w:rsidR="001065A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</w:t>
      </w:r>
      <w:r w:rsidR="001065AE">
        <w:rPr>
          <w:rFonts w:ascii="Times New Roman" w:eastAsia="Times New Roman" w:hAnsi="Times New Roman"/>
          <w:sz w:val="24"/>
          <w:szCs w:val="24"/>
          <w:lang w:eastAsia="ru-RU"/>
        </w:rPr>
        <w:t>за употребление спайса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065AE" w:rsidRDefault="001065AE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 подросток привлечен по ст. 7.17 КоАП РФ за повреждение чужого имущества;</w:t>
      </w:r>
    </w:p>
    <w:p w:rsidR="001065AE" w:rsidRDefault="001065AE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 подросток рассмотрен за нарушения правил торговли, материал прекращён в связи с истечением срока привлечения к ответственности;</w:t>
      </w:r>
    </w:p>
    <w:p w:rsidR="001065AE" w:rsidRPr="00854149" w:rsidRDefault="001065AE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- 3 материала рассмотрены за нарушения Закона ХМАО – Югры «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административных правонарушений»;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за нарушение ПДД привлечено к ответственности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несовершеннолетних;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 привлечены к ответственности за вовлечение детей к упо</w:t>
      </w:r>
      <w:r w:rsidR="003117CB">
        <w:rPr>
          <w:rFonts w:ascii="Times New Roman" w:eastAsia="Times New Roman" w:hAnsi="Times New Roman"/>
          <w:sz w:val="24"/>
          <w:szCs w:val="24"/>
          <w:lang w:eastAsia="ru-RU"/>
        </w:rPr>
        <w:t>треблению алкогольной продукции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4149" w:rsidRPr="00854149" w:rsidRDefault="001065AE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35 </w:t>
      </w:r>
      <w:r w:rsidR="00854149"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административных протоколов в отношении несовершеннолетних рассмотрены </w:t>
      </w:r>
      <w:r w:rsidR="00C30E60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 w:rsidR="00854149"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вынесением наказания в виде наложения административных штрафов, в связи с отсутствием у несовершеннолетних доходов оплата штрафов возложена на родителей.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за 9 месяцев 2017 на жителей города Югорска </w:t>
      </w:r>
      <w:r w:rsidR="00C30E60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наложено административных штрафов на сумму </w:t>
      </w:r>
      <w:r w:rsidR="00773F94">
        <w:rPr>
          <w:rFonts w:ascii="Times New Roman" w:eastAsia="Times New Roman" w:hAnsi="Times New Roman"/>
          <w:sz w:val="24"/>
          <w:szCs w:val="24"/>
          <w:lang w:eastAsia="ru-RU"/>
        </w:rPr>
        <w:t>27330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0 рублей.</w:t>
      </w:r>
    </w:p>
    <w:p w:rsidR="00854149" w:rsidRPr="00854149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К 2</w:t>
      </w:r>
      <w:r w:rsidR="00A802D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несовершеннолетним Комиссией приняты меры воспитательного воздействия в виде правового просвещения и правового информирования, направленных на предупреждение повторных правонарушений, антиобщественных действий, формирование законопослушного поведения.</w:t>
      </w:r>
    </w:p>
    <w:p w:rsidR="00C74BC4" w:rsidRDefault="00854149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По итогам рассмотрения дел об административных правонарушениях и информаций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поступивших в </w:t>
      </w:r>
      <w:r w:rsidR="00C30E60">
        <w:rPr>
          <w:rFonts w:ascii="Times New Roman" w:eastAsia="Times New Roman" w:hAnsi="Times New Roman"/>
          <w:sz w:val="24"/>
          <w:szCs w:val="24"/>
          <w:lang w:eastAsia="ru-RU"/>
        </w:rPr>
        <w:t>Комиссию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за 9 месяцев 201</w:t>
      </w:r>
      <w:r w:rsidR="001065A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4C346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организована индивидуальная профилактическая работа с </w:t>
      </w:r>
      <w:r w:rsidR="001065A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 xml:space="preserve"> семьями и </w:t>
      </w:r>
      <w:r w:rsidR="001065AE">
        <w:rPr>
          <w:rFonts w:ascii="Times New Roman" w:eastAsia="Times New Roman" w:hAnsi="Times New Roman"/>
          <w:sz w:val="24"/>
          <w:szCs w:val="24"/>
          <w:lang w:eastAsia="ru-RU"/>
        </w:rPr>
        <w:t>60</w:t>
      </w:r>
      <w:r w:rsidRPr="0085414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854149">
        <w:rPr>
          <w:rFonts w:ascii="Times New Roman" w:eastAsia="Times New Roman" w:hAnsi="Times New Roman"/>
          <w:sz w:val="24"/>
          <w:szCs w:val="24"/>
          <w:lang w:eastAsia="ru-RU"/>
        </w:rPr>
        <w:t>несовершеннолетними, находящимися в социально опасном положении.</w:t>
      </w:r>
      <w:r w:rsidR="00C74BC4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работы с выявленными несовершеннолетними, находящимися в социально опасном положении:</w:t>
      </w:r>
    </w:p>
    <w:p w:rsidR="00410BB2" w:rsidRDefault="00C74BC4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подростк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прошли курс реабилитации 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proofErr w:type="spellStart"/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410BB2" w:rsidRPr="00410BB2">
        <w:rPr>
          <w:rFonts w:ascii="Times New Roman" w:eastAsia="Times New Roman" w:hAnsi="Times New Roman"/>
          <w:sz w:val="24"/>
          <w:szCs w:val="24"/>
          <w:lang w:eastAsia="ru-RU"/>
        </w:rPr>
        <w:t>ургутск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proofErr w:type="spellEnd"/>
      <w:r w:rsidR="00410BB2" w:rsidRP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10BB2" w:rsidRP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 социального обслуживания населени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10BB2" w:rsidRDefault="00410BB2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- 1 подросток прошел реабилитацию в Советском реабилитационном центре для подростков (Советский район);</w:t>
      </w:r>
    </w:p>
    <w:p w:rsidR="00C74BC4" w:rsidRDefault="00C74BC4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подрост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ок прошел реабилитацию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Няганском</w:t>
      </w:r>
      <w:proofErr w:type="spellEnd"/>
      <w:r w:rsidR="00410BB2" w:rsidRP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 центр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10BB2" w:rsidRP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помощи детям, оставшимся без попечения родителей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74BC4" w:rsidRDefault="00773F94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74B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B4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подростка 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прошли </w:t>
      </w:r>
      <w:proofErr w:type="spellStart"/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реаблитацию</w:t>
      </w:r>
      <w:proofErr w:type="spellEnd"/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B4">
        <w:rPr>
          <w:rFonts w:ascii="Times New Roman" w:eastAsia="Times New Roman" w:hAnsi="Times New Roman"/>
          <w:sz w:val="24"/>
          <w:szCs w:val="24"/>
          <w:lang w:eastAsia="ru-RU"/>
        </w:rPr>
        <w:t>в ц</w:t>
      </w:r>
      <w:r w:rsidR="00DE03B4" w:rsidRPr="00DE03B4">
        <w:rPr>
          <w:rFonts w:ascii="Times New Roman" w:eastAsia="Times New Roman" w:hAnsi="Times New Roman"/>
          <w:sz w:val="24"/>
          <w:szCs w:val="24"/>
          <w:lang w:eastAsia="ru-RU"/>
        </w:rPr>
        <w:t>ентр</w:t>
      </w:r>
      <w:r w:rsidR="00DE03B4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E03B4" w:rsidRPr="00DE03B4">
        <w:rPr>
          <w:rFonts w:ascii="Times New Roman" w:eastAsia="Times New Roman" w:hAnsi="Times New Roman"/>
          <w:sz w:val="24"/>
          <w:szCs w:val="24"/>
          <w:lang w:eastAsia="ru-RU"/>
        </w:rPr>
        <w:t xml:space="preserve"> реабилитации несовершеннолетних </w:t>
      </w:r>
      <w:proofErr w:type="spellStart"/>
      <w:r w:rsidR="00DE03B4" w:rsidRPr="00DE03B4">
        <w:rPr>
          <w:rFonts w:ascii="Times New Roman" w:eastAsia="Times New Roman" w:hAnsi="Times New Roman"/>
          <w:sz w:val="24"/>
          <w:szCs w:val="24"/>
          <w:lang w:eastAsia="ru-RU"/>
        </w:rPr>
        <w:t>наркопотребителей</w:t>
      </w:r>
      <w:proofErr w:type="spellEnd"/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03B4">
        <w:rPr>
          <w:rFonts w:ascii="Times New Roman" w:eastAsia="Times New Roman" w:hAnsi="Times New Roman"/>
          <w:sz w:val="24"/>
          <w:szCs w:val="24"/>
          <w:lang w:eastAsia="ru-RU"/>
        </w:rPr>
        <w:t>(г. Пыть-Ях)</w:t>
      </w:r>
      <w:r w:rsidR="000B0DD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7B1A61" w:rsidRDefault="007B1A61" w:rsidP="000B0DD2">
      <w:pPr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410BB2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несовершеннолетних прошли стационарное</w:t>
      </w:r>
      <w:r w:rsidR="00F75E9A">
        <w:rPr>
          <w:rFonts w:ascii="Times New Roman" w:eastAsia="Times New Roman" w:hAnsi="Times New Roman"/>
          <w:sz w:val="24"/>
          <w:szCs w:val="24"/>
          <w:lang w:eastAsia="ru-RU"/>
        </w:rPr>
        <w:t xml:space="preserve"> лечение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Советской психоневрологической больнице.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целях профилактики преступлений несовершеннолетними и в отношении них 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дополнительно в 201</w:t>
      </w:r>
      <w:r w:rsidR="00AD2205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году: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 Приобретены путевки (всего 10) на </w:t>
      </w:r>
      <w:r w:rsidR="00C30E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специальную 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смену в военно спортивный лагерь «Окуневские зори» для несовершеннолетних, находящихся в социально опасном положении;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2. Организовано информирование жителей города Югорска по профилактике безнадзорности, правонарушений и антиобщественных действий среди несовершеннолетних, предупреждению чрезвычайных происшествий с несовершеннолетними и жестокого обращения с детьми (информационная компания «Спасти и уберечь»), в том числе: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2.1. Во 2 квартале 201</w:t>
      </w:r>
      <w:r w:rsidR="00AD2205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заказано информационное сопровождение деятельности территориальной комиссии по делам несовершеннолетних и защите при администрации города Югорска, в рамках которого подготовлены 10 специальных статей в городской газете «Югорский Вестник» по профилактике безнадзорности и правонарушений несовершеннолетних.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2.2. В 3 квартале 201</w:t>
      </w:r>
      <w:r w:rsidR="00AD2205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изготовлены новые </w:t>
      </w:r>
      <w:proofErr w:type="spell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имиджевые</w:t>
      </w:r>
      <w:proofErr w:type="spell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постановочные видеоролики </w:t>
      </w:r>
      <w:r w:rsidR="001065AE" w:rsidRP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по предупреждению детского до</w:t>
      </w:r>
      <w:r w:rsid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рожно-транспортного травматизма,</w:t>
      </w:r>
      <w:r w:rsidR="001065AE" w:rsidRP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 профилактике краж (хищений)</w:t>
      </w:r>
      <w:r w:rsid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1065AE" w:rsidRPr="001065AE">
        <w:t xml:space="preserve"> </w:t>
      </w:r>
      <w:r w:rsid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по предупреждению</w:t>
      </w:r>
      <w:r w:rsidR="001065AE" w:rsidRP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употребления</w:t>
      </w:r>
      <w:r w:rsid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вредной для здоровья продукции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3. Организовано систематическое комиссионное посещение детских лагерей в период «летней к</w:t>
      </w:r>
      <w:r w:rsidR="00C30E6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мпании» 201</w:t>
      </w:r>
      <w:r w:rsidR="00AD2205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с организацией лекций по технике безопасности, общений на эту тему с детьми и персоналом в период «летней к</w:t>
      </w:r>
      <w:r w:rsidR="00C30E60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мпании» 201</w:t>
      </w:r>
      <w:r w:rsidR="00AD2205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года.</w:t>
      </w:r>
    </w:p>
    <w:p w:rsidR="00854149" w:rsidRPr="00854149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4. Организовано включение в постоянный маршрут патрулирования общественными объединениями профилактической направленности торговых центров города Югорска.</w:t>
      </w:r>
    </w:p>
    <w:p w:rsidR="001065AE" w:rsidRDefault="00854149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5. Внесены дополнительные мероприятия в планы </w:t>
      </w:r>
      <w:proofErr w:type="gram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proofErr w:type="gram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>воспитательной</w:t>
      </w:r>
      <w:proofErr w:type="gramEnd"/>
      <w:r w:rsidRPr="0085414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работы в общеобразовательных органи</w:t>
      </w:r>
      <w:r w:rsid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зациях, в том числе мероприятия:</w:t>
      </w:r>
    </w:p>
    <w:p w:rsidR="001065AE" w:rsidRPr="001065AE" w:rsidRDefault="001065AE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- по систематическому просвещению родителей по вопросам создания безопасной атмосферы в семьях, психических особенностях подросткового и юношеского возраста, особенностях поведения подростков с суицидальными намерениями;</w:t>
      </w:r>
    </w:p>
    <w:p w:rsidR="001065AE" w:rsidRPr="001065AE" w:rsidRDefault="001065AE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- по предупреждению ранних половых связей несовершеннолетних;</w:t>
      </w:r>
    </w:p>
    <w:p w:rsidR="00854149" w:rsidRPr="00854149" w:rsidRDefault="001065AE" w:rsidP="000B0DD2">
      <w:pPr>
        <w:widowControl w:val="0"/>
        <w:tabs>
          <w:tab w:val="left" w:pos="0"/>
          <w:tab w:val="center" w:pos="4677"/>
          <w:tab w:val="right" w:pos="10206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065AE">
        <w:rPr>
          <w:rFonts w:ascii="Times New Roman" w:eastAsia="Times New Roman" w:hAnsi="Times New Roman"/>
          <w:bCs/>
          <w:sz w:val="24"/>
          <w:szCs w:val="24"/>
          <w:lang w:eastAsia="ru-RU"/>
        </w:rPr>
        <w:t>- по предупреждению совершения несовершеннолетними имущественных преступлений, в том числе у родственников.</w:t>
      </w:r>
    </w:p>
    <w:p w:rsidR="00C37410" w:rsidRPr="00DB5668" w:rsidRDefault="00C30E60" w:rsidP="000B0DD2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6. Со всеми несовершеннолетними, допустившими употребление вредной для здоровья продукции в 201</w:t>
      </w:r>
      <w:r w:rsidR="00AD220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проведены специальные занятия по формированию у них законопослушного поведения с участием правоохранительных органов и учреждений здравоохранения, работающих на территории города Югорска.</w:t>
      </w:r>
    </w:p>
    <w:sectPr w:rsidR="00C37410" w:rsidRPr="00DB5668" w:rsidSect="00E6297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21"/>
    <w:rsid w:val="00050EDF"/>
    <w:rsid w:val="000638FC"/>
    <w:rsid w:val="00073447"/>
    <w:rsid w:val="0008797F"/>
    <w:rsid w:val="000B0DD2"/>
    <w:rsid w:val="001065AE"/>
    <w:rsid w:val="00121376"/>
    <w:rsid w:val="00186848"/>
    <w:rsid w:val="001D09BE"/>
    <w:rsid w:val="00233A7A"/>
    <w:rsid w:val="002446A6"/>
    <w:rsid w:val="00274404"/>
    <w:rsid w:val="00285EC4"/>
    <w:rsid w:val="002B3062"/>
    <w:rsid w:val="002B744C"/>
    <w:rsid w:val="002E1588"/>
    <w:rsid w:val="002E4D30"/>
    <w:rsid w:val="002E651A"/>
    <w:rsid w:val="003058C9"/>
    <w:rsid w:val="003117CB"/>
    <w:rsid w:val="00332814"/>
    <w:rsid w:val="00373449"/>
    <w:rsid w:val="003B5152"/>
    <w:rsid w:val="004053D7"/>
    <w:rsid w:val="00410BB2"/>
    <w:rsid w:val="00441010"/>
    <w:rsid w:val="00460118"/>
    <w:rsid w:val="004C3467"/>
    <w:rsid w:val="00597ADB"/>
    <w:rsid w:val="005A0754"/>
    <w:rsid w:val="005A54E5"/>
    <w:rsid w:val="005A7A40"/>
    <w:rsid w:val="00643316"/>
    <w:rsid w:val="00662587"/>
    <w:rsid w:val="00662B35"/>
    <w:rsid w:val="00671EE0"/>
    <w:rsid w:val="00675379"/>
    <w:rsid w:val="006771DB"/>
    <w:rsid w:val="006E788F"/>
    <w:rsid w:val="00712256"/>
    <w:rsid w:val="00773F94"/>
    <w:rsid w:val="007A5089"/>
    <w:rsid w:val="007B1A61"/>
    <w:rsid w:val="007B6B65"/>
    <w:rsid w:val="007E763A"/>
    <w:rsid w:val="00854149"/>
    <w:rsid w:val="008708BC"/>
    <w:rsid w:val="008717B8"/>
    <w:rsid w:val="00884237"/>
    <w:rsid w:val="00890896"/>
    <w:rsid w:val="00896107"/>
    <w:rsid w:val="008A3C93"/>
    <w:rsid w:val="00990A21"/>
    <w:rsid w:val="009B2AEC"/>
    <w:rsid w:val="009B5CEC"/>
    <w:rsid w:val="009C7192"/>
    <w:rsid w:val="009E23FC"/>
    <w:rsid w:val="00A32281"/>
    <w:rsid w:val="00A42AFB"/>
    <w:rsid w:val="00A470B5"/>
    <w:rsid w:val="00A802D8"/>
    <w:rsid w:val="00AB3861"/>
    <w:rsid w:val="00AC7431"/>
    <w:rsid w:val="00AD2205"/>
    <w:rsid w:val="00AD6D1D"/>
    <w:rsid w:val="00B92087"/>
    <w:rsid w:val="00BC18FE"/>
    <w:rsid w:val="00BD7637"/>
    <w:rsid w:val="00BE146C"/>
    <w:rsid w:val="00C21B12"/>
    <w:rsid w:val="00C2454D"/>
    <w:rsid w:val="00C30E60"/>
    <w:rsid w:val="00C37410"/>
    <w:rsid w:val="00C47049"/>
    <w:rsid w:val="00C5630E"/>
    <w:rsid w:val="00C74BC4"/>
    <w:rsid w:val="00C7519C"/>
    <w:rsid w:val="00C93B3D"/>
    <w:rsid w:val="00CC28F4"/>
    <w:rsid w:val="00CE0394"/>
    <w:rsid w:val="00D03EC5"/>
    <w:rsid w:val="00D31B47"/>
    <w:rsid w:val="00D466D4"/>
    <w:rsid w:val="00D606F1"/>
    <w:rsid w:val="00DA43E8"/>
    <w:rsid w:val="00DA76E1"/>
    <w:rsid w:val="00DB5668"/>
    <w:rsid w:val="00DE03B4"/>
    <w:rsid w:val="00DE64C7"/>
    <w:rsid w:val="00E45FB1"/>
    <w:rsid w:val="00E62970"/>
    <w:rsid w:val="00E66AAC"/>
    <w:rsid w:val="00E70FDF"/>
    <w:rsid w:val="00E81FD3"/>
    <w:rsid w:val="00E9062F"/>
    <w:rsid w:val="00F231D9"/>
    <w:rsid w:val="00F53171"/>
    <w:rsid w:val="00F56F46"/>
    <w:rsid w:val="00F57FA8"/>
    <w:rsid w:val="00F63B9C"/>
    <w:rsid w:val="00F75E9A"/>
    <w:rsid w:val="00F94D06"/>
    <w:rsid w:val="00F97598"/>
    <w:rsid w:val="00FC3DFF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1"/>
    <w:pPr>
      <w:spacing w:after="0" w:line="240" w:lineRule="auto"/>
      <w:ind w:firstLine="40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4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A21"/>
    <w:pPr>
      <w:spacing w:after="0" w:line="240" w:lineRule="auto"/>
      <w:ind w:firstLine="403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B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B4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5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4" Type="http://schemas.openxmlformats.org/officeDocument/2006/relationships/settings" Target="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2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6.3016603137768815E-2"/>
          <c:y val="0.17039757665803054"/>
          <c:w val="0.93698041041339419"/>
          <c:h val="0.6728110599078340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детей на начало года</c:v>
                </c:pt>
              </c:strCache>
            </c:strRef>
          </c:tx>
          <c:spPr>
            <a:solidFill>
              <a:srgbClr val="9999FF"/>
            </a:solidFill>
            <a:ln w="127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0125223259243458E-3"/>
                  <c:y val="0.10082549042220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0250446518486915E-3"/>
                  <c:y val="0.111438699940332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0250446518486915E-3"/>
                  <c:y val="0.111438699940332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0.127358514217522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0.111464968152866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60">
                <a:noFill/>
              </a:ln>
            </c:spPr>
            <c:txPr>
              <a:bodyPr/>
              <a:lstStyle/>
              <a:p>
                <a:pPr>
                  <a:defRPr sz="952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2009</c:v>
                </c:pt>
                <c:pt idx="1">
                  <c:v>2011</c:v>
                </c:pt>
                <c:pt idx="2">
                  <c:v>2013</c:v>
                </c:pt>
                <c:pt idx="3">
                  <c:v>2015</c:v>
                </c:pt>
                <c:pt idx="4">
                  <c:v>2018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7508</c:v>
                </c:pt>
                <c:pt idx="1">
                  <c:v>8022</c:v>
                </c:pt>
                <c:pt idx="2">
                  <c:v>8457</c:v>
                </c:pt>
                <c:pt idx="3">
                  <c:v>9163</c:v>
                </c:pt>
                <c:pt idx="4">
                  <c:v>9811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30"/>
        <c:shape val="box"/>
        <c:axId val="68684416"/>
        <c:axId val="68713088"/>
        <c:axId val="0"/>
      </c:bar3DChart>
      <c:catAx>
        <c:axId val="686844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713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87130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68684416"/>
        <c:crosses val="autoZero"/>
        <c:crossBetween val="between"/>
      </c:valAx>
      <c:spPr>
        <a:noFill/>
        <a:ln w="25460">
          <a:noFill/>
        </a:ln>
      </c:spPr>
    </c:plotArea>
    <c:legend>
      <c:legendPos val="b"/>
      <c:layout>
        <c:manualLayout>
          <c:xMode val="edge"/>
          <c:yMode val="edge"/>
          <c:x val="0.28924423721959225"/>
          <c:y val="3.8626126790330985E-2"/>
          <c:w val="0.42956792032415886"/>
          <c:h val="0.10138248847926268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52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618320610687022E-2"/>
          <c:y val="0"/>
          <c:w val="0.95038167938931295"/>
          <c:h val="0.9122187171398528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семей</c:v>
                </c:pt>
              </c:strCache>
            </c:strRef>
          </c:tx>
          <c:spPr>
            <a:solidFill>
              <a:srgbClr val="9999FF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0"/>
                  <c:y val="0.119148936170212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0.124822695035460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070393374741201E-3"/>
                  <c:y val="0.102127659574468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140850393700787E-3"/>
                  <c:y val="8.0378221953025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2875789909872578E-3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9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 formatCode="m/d/yyyy">
                  <c:v>43374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44</c:v>
                </c:pt>
                <c:pt idx="1">
                  <c:v>60</c:v>
                </c:pt>
                <c:pt idx="2">
                  <c:v>26</c:v>
                </c:pt>
                <c:pt idx="3">
                  <c:v>21</c:v>
                </c:pt>
                <c:pt idx="4">
                  <c:v>35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в них детей</c:v>
                </c:pt>
              </c:strCache>
            </c:strRef>
          </c:tx>
          <c:spPr>
            <a:solidFill>
              <a:srgbClr val="993366"/>
            </a:solidFill>
            <a:ln w="12682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4.5959472457247196E-3"/>
                  <c:y val="0.10614485955213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8534096281443081E-3"/>
                  <c:y val="0.120877868989780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8890498687664042E-3"/>
                  <c:y val="7.75793795006394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4056902887139108E-3"/>
                  <c:y val="6.4646611481257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2620922384701914E-3"/>
                  <c:y val="0.105002512983749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365">
                <a:noFill/>
              </a:ln>
            </c:spPr>
            <c:txPr>
              <a:bodyPr/>
              <a:lstStyle/>
              <a:p>
                <a:pPr>
                  <a:defRPr sz="8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Sheet1!$B$1:$F$1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 formatCode="m/d/yyyy">
                  <c:v>43374</c:v>
                </c:pt>
              </c:numCache>
            </c:numRef>
          </c:cat>
          <c:val>
            <c:numRef>
              <c:f>Sheet1!$B$3:$F$3</c:f>
              <c:numCache>
                <c:formatCode>General</c:formatCode>
                <c:ptCount val="5"/>
                <c:pt idx="0">
                  <c:v>63</c:v>
                </c:pt>
                <c:pt idx="1">
                  <c:v>89</c:v>
                </c:pt>
                <c:pt idx="2">
                  <c:v>42</c:v>
                </c:pt>
                <c:pt idx="3">
                  <c:v>31</c:v>
                </c:pt>
                <c:pt idx="4">
                  <c:v>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60"/>
        <c:shape val="box"/>
        <c:axId val="134120576"/>
        <c:axId val="134122112"/>
        <c:axId val="68070912"/>
      </c:bar3DChart>
      <c:catAx>
        <c:axId val="134120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122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122112"/>
        <c:scaling>
          <c:orientation val="minMax"/>
        </c:scaling>
        <c:delete val="0"/>
        <c:axPos val="l"/>
        <c:majorGridlines>
          <c:spPr>
            <a:ln w="3171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4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120576"/>
        <c:crosses val="autoZero"/>
        <c:crossBetween val="between"/>
      </c:valAx>
      <c:serAx>
        <c:axId val="68070912"/>
        <c:scaling>
          <c:orientation val="minMax"/>
        </c:scaling>
        <c:delete val="1"/>
        <c:axPos val="b"/>
        <c:majorTickMark val="out"/>
        <c:minorTickMark val="none"/>
        <c:tickLblPos val="nextTo"/>
        <c:crossAx val="134122112"/>
        <c:crosses val="autoZero"/>
      </c:serAx>
      <c:spPr>
        <a:noFill/>
        <a:ln w="25365">
          <a:noFill/>
        </a:ln>
      </c:spPr>
    </c:plotArea>
    <c:legend>
      <c:legendPos val="r"/>
      <c:layout>
        <c:manualLayout>
          <c:xMode val="edge"/>
          <c:yMode val="edge"/>
          <c:x val="0.33587786259541985"/>
          <c:y val="0.88"/>
          <c:w val="0.33587786259541985"/>
          <c:h val="9.7777777777777783E-2"/>
        </c:manualLayout>
      </c:layout>
      <c:overlay val="0"/>
      <c:spPr>
        <a:noFill/>
        <a:ln w="3171">
          <a:solidFill>
            <a:srgbClr val="000000"/>
          </a:solidFill>
          <a:prstDash val="solid"/>
        </a:ln>
      </c:spPr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употребление алкогольной продукции</c:v>
                </c:pt>
                <c:pt idx="1">
                  <c:v>совершения административного правонарушения</c:v>
                </c:pt>
                <c:pt idx="2">
                  <c:v>совершение ООД</c:v>
                </c:pt>
                <c:pt idx="3">
                  <c:v>осужденые без лишения свободы</c:v>
                </c:pt>
                <c:pt idx="4">
                  <c:v>бродяжничество</c:v>
                </c:pt>
                <c:pt idx="5">
                  <c:v>обвиняемый</c:v>
                </c:pt>
                <c:pt idx="6">
                  <c:v>освобожденный от ответсвенности</c:v>
                </c:pt>
                <c:pt idx="7">
                  <c:v>употрбление вредной для здоровья продукции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28</c:v>
                </c:pt>
                <c:pt idx="1">
                  <c:v>8</c:v>
                </c:pt>
                <c:pt idx="2">
                  <c:v>7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83333333333337"/>
          <c:y val="4.627546556680414E-2"/>
          <c:w val="0.34027777777777779"/>
          <c:h val="0.92729033870766153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2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999033974919802E-2"/>
          <c:y val="4.4057617797775277E-2"/>
          <c:w val="0.91017279090113734"/>
          <c:h val="0.8080986751656043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преступлений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9.92063492063491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5542965061378663E-3"/>
                  <c:y val="9.9206349206349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8885741265344666E-3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5542965061378663E-3"/>
                  <c:y val="9.1269841269841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5542965061378663E-3"/>
                  <c:y val="9.5238095238095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5.6657223796033997E-3"/>
                  <c:y val="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5542965061378663E-3"/>
                  <c:y val="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9 мес. 2018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21</c:v>
                </c:pt>
                <c:pt idx="1">
                  <c:v>15</c:v>
                </c:pt>
                <c:pt idx="2">
                  <c:v>19</c:v>
                </c:pt>
                <c:pt idx="3">
                  <c:v>22</c:v>
                </c:pt>
                <c:pt idx="4">
                  <c:v>11</c:v>
                </c:pt>
                <c:pt idx="5">
                  <c:v>21</c:v>
                </c:pt>
                <c:pt idx="6">
                  <c:v>14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участников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-1.8885741265344666E-3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1331444759206799E-2"/>
                  <c:y val="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5.6657223796033997E-3"/>
                  <c:y val="7.1428571428571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997167138810266E-2"/>
                  <c:y val="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74315391879131E-2"/>
                  <c:y val="6.3492063492063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2662889518413599E-2"/>
                  <c:y val="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644003777148253E-2"/>
                  <c:y val="7.53968253968253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9 мес. 2018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15</c:v>
                </c:pt>
                <c:pt idx="1">
                  <c:v>19</c:v>
                </c:pt>
                <c:pt idx="2">
                  <c:v>14</c:v>
                </c:pt>
                <c:pt idx="3">
                  <c:v>12</c:v>
                </c:pt>
                <c:pt idx="4">
                  <c:v>11</c:v>
                </c:pt>
                <c:pt idx="5">
                  <c:v>16</c:v>
                </c:pt>
                <c:pt idx="6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237568"/>
        <c:axId val="134243456"/>
        <c:axId val="68067328"/>
      </c:bar3DChart>
      <c:catAx>
        <c:axId val="1342375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43456"/>
        <c:crosses val="autoZero"/>
        <c:auto val="1"/>
        <c:lblAlgn val="ctr"/>
        <c:lblOffset val="100"/>
        <c:noMultiLvlLbl val="0"/>
      </c:catAx>
      <c:valAx>
        <c:axId val="134243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237568"/>
        <c:crosses val="autoZero"/>
        <c:crossBetween val="between"/>
      </c:valAx>
      <c:serAx>
        <c:axId val="68067328"/>
        <c:scaling>
          <c:orientation val="minMax"/>
        </c:scaling>
        <c:delete val="1"/>
        <c:axPos val="b"/>
        <c:majorTickMark val="out"/>
        <c:minorTickMark val="none"/>
        <c:tickLblPos val="nextTo"/>
        <c:crossAx val="134243456"/>
        <c:crosses val="autoZero"/>
      </c:serAx>
    </c:plotArea>
    <c:legend>
      <c:legendPos val="r"/>
      <c:layout>
        <c:manualLayout>
          <c:xMode val="edge"/>
          <c:yMode val="edge"/>
          <c:x val="0.20164461213181686"/>
          <c:y val="0.89649637545306837"/>
          <c:w val="0.61779983231262758"/>
          <c:h val="9.9864391951006118E-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42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859154929577461E-2"/>
          <c:y val="4.9450549450549448E-2"/>
          <c:w val="0.64260563380281688"/>
          <c:h val="0.68131868131868134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общественного воздействия</c:v>
                </c:pt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9 мес.2018</c:v>
                </c:pt>
              </c:strCache>
            </c:strRef>
          </c:cat>
          <c:val>
            <c:numRef>
              <c:f>Sheet1!$B$2:$F$2</c:f>
              <c:numCache>
                <c:formatCode>General</c:formatCode>
                <c:ptCount val="5"/>
                <c:pt idx="0">
                  <c:v>57</c:v>
                </c:pt>
                <c:pt idx="1">
                  <c:v>58</c:v>
                </c:pt>
                <c:pt idx="2">
                  <c:v>34</c:v>
                </c:pt>
                <c:pt idx="3">
                  <c:v>31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административных</c:v>
                </c:pt>
              </c:strCache>
            </c:strRef>
          </c:tx>
          <c:spPr>
            <a:solidFill>
              <a:srgbClr val="993366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9 мес.2018</c:v>
                </c:pt>
              </c:strCache>
            </c:strRef>
          </c:cat>
          <c:val>
            <c:numRef>
              <c:f>Sheet1!$B$3:$F$3</c:f>
              <c:numCache>
                <c:formatCode>General</c:formatCode>
                <c:ptCount val="5"/>
                <c:pt idx="0">
                  <c:v>235</c:v>
                </c:pt>
                <c:pt idx="1">
                  <c:v>217</c:v>
                </c:pt>
                <c:pt idx="2">
                  <c:v>226</c:v>
                </c:pt>
                <c:pt idx="3">
                  <c:v>270</c:v>
                </c:pt>
                <c:pt idx="4">
                  <c:v>191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всего дел</c:v>
                </c:pt>
              </c:strCache>
            </c:strRef>
          </c:tx>
          <c:spPr>
            <a:solidFill>
              <a:srgbClr val="FFFF00"/>
            </a:solidFill>
            <a:ln w="12701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2198531594296198E-2"/>
                  <c:y val="5.29762145116475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4.6716994248673276E-3"/>
                  <c:y val="3.64525167527135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7.7082475371285835E-3"/>
                  <c:y val="5.65749113091632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3.7025421282630886E-3"/>
                  <c:y val="8.0023813129128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4.9785268602426016E-3"/>
                  <c:y val="2.72430369280763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Sheet1!$B$1:$F$1</c:f>
              <c:strCach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9 мес.2018</c:v>
                </c:pt>
              </c:strCache>
            </c:strRef>
          </c:cat>
          <c:val>
            <c:numRef>
              <c:f>Sheet1!$B$4:$F$4</c:f>
              <c:numCache>
                <c:formatCode>General</c:formatCode>
                <c:ptCount val="5"/>
                <c:pt idx="0">
                  <c:v>292</c:v>
                </c:pt>
                <c:pt idx="1">
                  <c:v>275</c:v>
                </c:pt>
                <c:pt idx="2">
                  <c:v>260</c:v>
                </c:pt>
                <c:pt idx="3">
                  <c:v>301</c:v>
                </c:pt>
                <c:pt idx="4">
                  <c:v>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90"/>
        <c:shape val="box"/>
        <c:axId val="134280320"/>
        <c:axId val="134281856"/>
        <c:axId val="134353344"/>
      </c:bar3DChart>
      <c:catAx>
        <c:axId val="13428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281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428185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4280320"/>
        <c:crosses val="autoZero"/>
        <c:crossBetween val="between"/>
      </c:valAx>
      <c:serAx>
        <c:axId val="134353344"/>
        <c:scaling>
          <c:orientation val="minMax"/>
        </c:scaling>
        <c:delete val="1"/>
        <c:axPos val="b"/>
        <c:majorTickMark val="out"/>
        <c:minorTickMark val="none"/>
        <c:tickLblPos val="nextTo"/>
        <c:crossAx val="134281856"/>
        <c:crosses val="autoZero"/>
      </c:serAx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721830985915493"/>
          <c:y val="0.34065934065934067"/>
          <c:w val="0.27112676056338031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9 мес. 2017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2017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Кражи</c:v>
                </c:pt>
                <c:pt idx="1">
                  <c:v>Угоны</c:v>
                </c:pt>
                <c:pt idx="2">
                  <c:v>Телесные поверждения</c:v>
                </c:pt>
                <c:pt idx="3">
                  <c:v>ДТП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9 мес. 2018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2018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Кражи</c:v>
                </c:pt>
                <c:pt idx="1">
                  <c:v>Угоны</c:v>
                </c:pt>
                <c:pt idx="2">
                  <c:v>Грабеж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="1" cap="none" spc="0">
                <a:ln w="12700">
                  <a:solidFill>
                    <a:schemeClr val="tx2">
                      <a:satMod val="155000"/>
                    </a:schemeClr>
                  </a:solidFill>
                  <a:prstDash val="solid"/>
                </a:ln>
                <a:solidFill>
                  <a:schemeClr val="bg2">
                    <a:tint val="85000"/>
                    <a:satMod val="155000"/>
                  </a:schemeClr>
                </a:solidFill>
                <a:effectLst>
                  <a:outerShdw blurRad="41275" dist="20320" dir="1800000" algn="tl" rotWithShape="0">
                    <a:srgbClr val="000000">
                      <a:alpha val="40000"/>
                    </a:srgbClr>
                  </a:outerShdw>
                </a:effectLst>
              </a:defRPr>
            </a:pPr>
            <a:r>
              <a:rPr lang="ru-RU" sz="1600" b="1" cap="none" spc="0" dirty="0" smtClean="0">
                <a:ln w="12700">
                  <a:solidFill>
                    <a:schemeClr val="tx2">
                      <a:satMod val="155000"/>
                    </a:schemeClr>
                  </a:solidFill>
                  <a:prstDash val="solid"/>
                </a:ln>
                <a:solidFill>
                  <a:schemeClr val="bg2">
                    <a:tint val="85000"/>
                    <a:satMod val="155000"/>
                  </a:schemeClr>
                </a:solidFill>
                <a:effectLst>
                  <a:outerShdw blurRad="41275" dist="20320" dir="1800000" algn="tl" rotWithShape="0">
                    <a:srgbClr val="000000">
                      <a:alpha val="40000"/>
                    </a:srgbClr>
                  </a:outerShdw>
                </a:effectLst>
              </a:rPr>
              <a:t>9 мес. 2017</a:t>
            </a:r>
            <a:endParaRPr lang="ru-RU" sz="1600" b="1" cap="none" spc="0" dirty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endParaRPr>
          </a:p>
        </c:rich>
      </c:tx>
      <c:overlay val="0"/>
      <c:spPr>
        <a:effectLst>
          <a:glow rad="63500">
            <a:schemeClr val="accent1">
              <a:satMod val="175000"/>
              <a:alpha val="40000"/>
            </a:schemeClr>
          </a:glow>
        </a:effectLst>
      </c:spPr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713799252612388"/>
          <c:y val="0.10124152871903122"/>
          <c:w val="0.74216310167471378"/>
          <c:h val="0.810573825130541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2017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explosion val="25"/>
          <c:dPt>
            <c:idx val="1"/>
            <c:bubble3D val="0"/>
            <c:spPr>
              <a:solidFill>
                <a:srgbClr val="FF0000"/>
              </a:solidFill>
              <a:ln>
                <a:solidFill>
                  <a:schemeClr val="accent1"/>
                </a:solidFill>
              </a:ln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неуплата алиментов</c:v>
                </c:pt>
                <c:pt idx="1">
                  <c:v>против половой неприкосновенности</c:v>
                </c:pt>
                <c:pt idx="2">
                  <c:v>угроза убийством</c:v>
                </c:pt>
                <c:pt idx="3">
                  <c:v>грабеж</c:v>
                </c:pt>
                <c:pt idx="4">
                  <c:v>похищение</c:v>
                </c:pt>
                <c:pt idx="5">
                  <c:v>оборот порнографических материалов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14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1.6185871675342824E-2"/>
          <c:y val="0.73902603717983972"/>
          <c:w val="0.92919279234914198"/>
          <c:h val="0.20963517714789431"/>
        </c:manualLayout>
      </c:layout>
      <c:overlay val="0"/>
      <c:txPr>
        <a:bodyPr/>
        <a:lstStyle/>
        <a:p>
          <a:pPr>
            <a:defRPr sz="800">
              <a:solidFill>
                <a:schemeClr val="tx1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600"/>
            </a:pPr>
            <a:r>
              <a:rPr lang="ru-RU" sz="1600" b="1" cap="none" spc="0" dirty="0">
                <a:ln w="12700">
                  <a:solidFill>
                    <a:schemeClr val="tx2">
                      <a:satMod val="155000"/>
                    </a:schemeClr>
                  </a:solidFill>
                  <a:prstDash val="solid"/>
                </a:ln>
                <a:solidFill>
                  <a:schemeClr val="bg2">
                    <a:tint val="85000"/>
                    <a:satMod val="155000"/>
                  </a:schemeClr>
                </a:solidFill>
                <a:effectLst>
                  <a:outerShdw blurRad="41275" dist="20320" dir="1800000" algn="tl" rotWithShape="0">
                    <a:srgbClr val="000000">
                      <a:alpha val="40000"/>
                    </a:srgbClr>
                  </a:outerShdw>
                </a:effectLst>
              </a:rPr>
              <a:t>9 мес. </a:t>
            </a:r>
            <a:r>
              <a:rPr lang="ru-RU" sz="1600" b="1" cap="none" spc="0" dirty="0" smtClean="0">
                <a:ln w="12700">
                  <a:solidFill>
                    <a:schemeClr val="tx2">
                      <a:satMod val="155000"/>
                    </a:schemeClr>
                  </a:solidFill>
                  <a:prstDash val="solid"/>
                </a:ln>
                <a:solidFill>
                  <a:schemeClr val="bg2">
                    <a:tint val="85000"/>
                    <a:satMod val="155000"/>
                  </a:schemeClr>
                </a:solidFill>
                <a:effectLst>
                  <a:outerShdw blurRad="41275" dist="20320" dir="1800000" algn="tl" rotWithShape="0">
                    <a:srgbClr val="000000">
                      <a:alpha val="40000"/>
                    </a:srgbClr>
                  </a:outerShdw>
                </a:effectLst>
              </a:rPr>
              <a:t>2018</a:t>
            </a:r>
            <a:endParaRPr lang="ru-RU" sz="1600" b="1" cap="none" spc="0" dirty="0">
              <a:ln w="12700">
                <a:solidFill>
                  <a:schemeClr val="tx2">
                    <a:satMod val="155000"/>
                  </a:schemeClr>
                </a:solidFill>
                <a:prstDash val="solid"/>
              </a:ln>
              <a:solidFill>
                <a:schemeClr val="bg2">
                  <a:tint val="85000"/>
                  <a:satMod val="155000"/>
                </a:schemeClr>
              </a:solidFill>
              <a:effectLst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endParaRP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8899827456813192E-2"/>
          <c:y val="8.0956396465966446E-2"/>
          <c:w val="0.77690970844509344"/>
          <c:h val="0.887239304922403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9 мес. 2018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1F497D">
                  <a:lumMod val="60000"/>
                  <a:lumOff val="40000"/>
                </a:srgbClr>
              </a:solidFill>
            </c:spPr>
          </c:dPt>
          <c:dPt>
            <c:idx val="1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неуплата алиментов</c:v>
                </c:pt>
                <c:pt idx="1">
                  <c:v>против половой неприкосновенности</c:v>
                </c:pt>
                <c:pt idx="2">
                  <c:v>причение телесных поверждений</c:v>
                </c:pt>
                <c:pt idx="3">
                  <c:v>кража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5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5.9575296622370759E-2"/>
          <c:y val="0.75367195083970628"/>
          <c:w val="0.87563598375690688"/>
          <c:h val="0.23955125204667604"/>
        </c:manualLayout>
      </c:layout>
      <c:overlay val="0"/>
      <c:txPr>
        <a:bodyPr/>
        <a:lstStyle/>
        <a:p>
          <a:pPr>
            <a:defRPr sz="800">
              <a:solidFill>
                <a:schemeClr val="tx1"/>
              </a:solidFill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Изящная">
    <a:dk1>
      <a:sysClr val="windowText" lastClr="000000"/>
    </a:dk1>
    <a:lt1>
      <a:sysClr val="window" lastClr="FFFFFF"/>
    </a:lt1>
    <a:dk2>
      <a:srgbClr val="B13F9A"/>
    </a:dk2>
    <a:lt2>
      <a:srgbClr val="F4E7ED"/>
    </a:lt2>
    <a:accent1>
      <a:srgbClr val="B83D68"/>
    </a:accent1>
    <a:accent2>
      <a:srgbClr val="AC66BB"/>
    </a:accent2>
    <a:accent3>
      <a:srgbClr val="DE6C36"/>
    </a:accent3>
    <a:accent4>
      <a:srgbClr val="F9B639"/>
    </a:accent4>
    <a:accent5>
      <a:srgbClr val="CF6DA4"/>
    </a:accent5>
    <a:accent6>
      <a:srgbClr val="FA8D3D"/>
    </a:accent6>
    <a:hlink>
      <a:srgbClr val="FFDE66"/>
    </a:hlink>
    <a:folHlink>
      <a:srgbClr val="D490C5"/>
    </a:folHlink>
  </a:clrScheme>
  <a:fontScheme name="Справедливость">
    <a:majorFont>
      <a:latin typeface="Franklin Gothic Book"/>
      <a:ea typeface=""/>
      <a:cs typeface=""/>
      <a:font script="Grek" typeface="Calibri"/>
      <a:font script="Cyrl" typeface="Calibri"/>
      <a:font script="Jpan" typeface="HGｺﾞｼｯｸM"/>
      <a:font script="Hang" typeface="바탕"/>
      <a:font script="Hans" typeface="幼圆"/>
      <a:font script="Hant" typeface="微軟正黑體"/>
      <a:font script="Arab" typeface="Tahoma"/>
      <a:font script="Hebr" typeface="Aharoni"/>
      <a:font script="Thai" typeface="Lily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Perpetua"/>
      <a:ea typeface=""/>
      <a:cs typeface=""/>
      <a:font script="Grek" typeface="Cambria"/>
      <a:font script="Cyrl" typeface="Cambria"/>
      <a:font script="Jpan" typeface="HG創英ﾌﾟﾚｾﾞﾝｽEB"/>
      <a:font script="Hang" typeface="맑은 고딕"/>
      <a:font script="Hans" typeface="宋体"/>
      <a:font script="Hant" typeface="新細明體"/>
      <a:font script="Arab" typeface="Times New Roman"/>
      <a:font script="Hebr" typeface="Aharoni"/>
      <a:font script="Thai" typeface="EucrosiaUPC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inorFont>
  </a:fontScheme>
  <a:fmtScheme name="Тема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9EF20-2060-4688-A698-A68A8FD1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1417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Лыпелмен Юрий Семенович</dc:creator>
  <cp:lastModifiedBy>Скворцова Наталья Николаевна</cp:lastModifiedBy>
  <cp:revision>6</cp:revision>
  <cp:lastPrinted>2018-11-27T11:44:00Z</cp:lastPrinted>
  <dcterms:created xsi:type="dcterms:W3CDTF">2018-11-13T09:51:00Z</dcterms:created>
  <dcterms:modified xsi:type="dcterms:W3CDTF">2018-11-27T11:44:00Z</dcterms:modified>
</cp:coreProperties>
</file>