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72F4D" w14:textId="77777777" w:rsidR="002511AD" w:rsidRPr="003530A3" w:rsidRDefault="002511A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</w:p>
    <w:p w14:paraId="0EDD8419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 xml:space="preserve">Приложение 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1D40BF50" w14:textId="7B42374D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на  оказание услуг</w:t>
      </w:r>
      <w:r w:rsid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по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централизованной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охране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объектов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77777777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>(ИКЗ № 233862200236886220100102380018010244)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254B1C2E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</w:t>
      </w:r>
      <w:proofErr w:type="gramStart"/>
      <w:r w:rsidR="008172CE" w:rsidRPr="003530A3">
        <w:rPr>
          <w:rFonts w:ascii="PT Astra Serif" w:hAnsi="PT Astra Serif" w:cs="Times New Roman"/>
          <w:sz w:val="24"/>
          <w:szCs w:val="24"/>
        </w:rPr>
        <w:t>от</w:t>
      </w:r>
      <w:proofErr w:type="gram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365074FE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услуги</w:t>
      </w:r>
      <w:r w:rsidR="001D6E7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по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централизованной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охране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объектов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4DB20A47" w14:textId="469218CD" w:rsidR="002511AD" w:rsidRPr="003530A3" w:rsidRDefault="00D273C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1.2. Сроки оказания услуг: с 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момента заключения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 w:rsidR="002511AD" w:rsidRPr="003530A3">
        <w:rPr>
          <w:rFonts w:ascii="PT Astra Serif" w:hAnsi="PT Astra Serif" w:cs="Times New Roman"/>
          <w:sz w:val="24"/>
          <w:szCs w:val="24"/>
        </w:rPr>
        <w:t>31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</w:rPr>
        <w:t>декабря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>202</w:t>
      </w:r>
      <w:r w:rsidR="002511AD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2511AD" w:rsidRPr="003530A3">
        <w:rPr>
          <w:rFonts w:ascii="PT Astra Serif" w:hAnsi="PT Astra Serif" w:cs="Times New Roman"/>
          <w:color w:val="000000"/>
          <w:sz w:val="24"/>
          <w:szCs w:val="24"/>
        </w:rPr>
        <w:t>628260, Ханты-Мансийский автономный округ - Югра, г. Югорск:</w:t>
      </w:r>
    </w:p>
    <w:p w14:paraId="4241222E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40 лет Победы, д. 11 (сектор специальных мероприятий, кабинет 226; служебное помещение, кабинет 412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7C91720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Механизаторов, д. 22 (Департамент жилищно-коммунального и строительного комплекса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8890D5A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</w:t>
      </w:r>
      <w:proofErr w:type="gramStart"/>
      <w:r w:rsidRPr="003530A3">
        <w:rPr>
          <w:rFonts w:ascii="PT Astra Serif" w:hAnsi="PT Astra Serif" w:cs="Times New Roman"/>
          <w:color w:val="000000"/>
          <w:sz w:val="24"/>
          <w:szCs w:val="24"/>
        </w:rPr>
        <w:t>Железнодорожная</w:t>
      </w:r>
      <w:proofErr w:type="gramEnd"/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, д.43/1 (архив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6DCE4451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>- ул. мкр</w:t>
      </w:r>
      <w:proofErr w:type="gramStart"/>
      <w:r w:rsidRPr="003530A3">
        <w:rPr>
          <w:rFonts w:ascii="PT Astra Serif" w:hAnsi="PT Astra Serif" w:cs="Times New Roman"/>
          <w:color w:val="000000"/>
          <w:sz w:val="24"/>
          <w:szCs w:val="24"/>
        </w:rPr>
        <w:t>.Ю</w:t>
      </w:r>
      <w:proofErr w:type="gramEnd"/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горск-2 д.1 помещение №200 (архив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).</w:t>
      </w:r>
    </w:p>
    <w:p w14:paraId="0B766A1D" w14:textId="3CED38F5" w:rsidR="00D273CD" w:rsidRPr="003530A3" w:rsidRDefault="00D273C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_DdeLink__16344_3769195071"/>
    </w:p>
    <w:p w14:paraId="30DBB805" w14:textId="77777777" w:rsidR="0036113F" w:rsidRPr="003530A3" w:rsidRDefault="0036113F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14:paraId="782852F1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2773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2.4.1. В любое время проверять ход и качество услуг,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оказываемых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Исполнителем, не вмешиваясь в его хозяйственную деятельность.</w:t>
      </w:r>
    </w:p>
    <w:p w14:paraId="751F2B65" w14:textId="39FA1F72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7ED54124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1" w:name="P152"/>
      <w:bookmarkEnd w:id="1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Исполнитель ежемесячно по окончании оказания услуг в течение 5 (пяти) рабочих дней </w:t>
      </w:r>
      <w:r w:rsidRPr="003530A3">
        <w:rPr>
          <w:rFonts w:ascii="PT Astra Serif" w:hAnsi="PT Astra Serif"/>
          <w:iCs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br/>
        <w:t xml:space="preserve">94 </w:t>
      </w:r>
      <w:r w:rsidRPr="003530A3">
        <w:rPr>
          <w:rFonts w:ascii="PT Astra Serif" w:hAnsi="PT Astra Serif"/>
          <w:sz w:val="24"/>
          <w:szCs w:val="24"/>
        </w:rPr>
        <w:t xml:space="preserve">Федеральным законом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2053EB7" w14:textId="39ECD748" w:rsidR="009E0418" w:rsidRPr="003530A3" w:rsidRDefault="009E0418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 xml:space="preserve">В случае если отчетным месяцем является декабрь, документ о приемке формируется, подписывается усиленной электронной подписью </w:t>
      </w:r>
      <w:proofErr w:type="gramStart"/>
      <w:r w:rsidRPr="003530A3">
        <w:rPr>
          <w:rFonts w:ascii="PT Astra Serif" w:hAnsi="PT Astra Serif"/>
          <w:iCs/>
          <w:sz w:val="24"/>
          <w:szCs w:val="24"/>
        </w:rPr>
        <w:t>лица, имеющего право действовать от имени Исполнителя и направляется</w:t>
      </w:r>
      <w:proofErr w:type="gramEnd"/>
      <w:r w:rsidRPr="003530A3">
        <w:rPr>
          <w:rFonts w:ascii="PT Astra Serif" w:hAnsi="PT Astra Serif"/>
          <w:iCs/>
          <w:sz w:val="24"/>
          <w:szCs w:val="24"/>
        </w:rPr>
        <w:t xml:space="preserve"> Заказчику в срок не позднее 17.12.2024 г.</w:t>
      </w:r>
    </w:p>
    <w:p w14:paraId="03B192E0" w14:textId="3312A99F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lastRenderedPageBreak/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226D1A" w:rsidRPr="003530A3">
        <w:rPr>
          <w:rFonts w:ascii="PT Astra Serif" w:hAnsi="PT Astra Serif"/>
          <w:iCs/>
          <w:sz w:val="24"/>
          <w:szCs w:val="24"/>
        </w:rPr>
        <w:t>Законом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2773C4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2773C4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</w:t>
      </w:r>
      <w:proofErr w:type="gramStart"/>
      <w:r w:rsidRPr="003530A3">
        <w:rPr>
          <w:rFonts w:ascii="PT Astra Serif" w:hAnsi="PT Astra Serif" w:cs="Times New Roman"/>
          <w:sz w:val="24"/>
          <w:szCs w:val="24"/>
          <w:lang w:eastAsia="en-US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Pr="003530A3" w:rsidRDefault="004905C1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>4. Гарантийные обязательства</w:t>
      </w:r>
    </w:p>
    <w:p w14:paraId="4C10E06F" w14:textId="602F1EA6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2773C4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2" w:name="P226"/>
      <w:bookmarkEnd w:id="2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2DFF24BF" w:rsidR="00D273CD" w:rsidRPr="003530A3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4F2B4F" w:rsidRPr="003530A3">
        <w:rPr>
          <w:rFonts w:ascii="PT Astra Serif" w:hAnsi="PT Astra Serif"/>
        </w:rPr>
        <w:t>Бю</w:t>
      </w:r>
      <w:r w:rsidR="00D76BD8">
        <w:rPr>
          <w:rFonts w:ascii="PT Astra Serif" w:hAnsi="PT Astra Serif"/>
        </w:rPr>
        <w:t xml:space="preserve">джет города </w:t>
      </w:r>
      <w:proofErr w:type="spellStart"/>
      <w:r w:rsidR="00D76BD8">
        <w:rPr>
          <w:rFonts w:ascii="PT Astra Serif" w:hAnsi="PT Astra Serif"/>
        </w:rPr>
        <w:t>Югорска</w:t>
      </w:r>
      <w:proofErr w:type="spellEnd"/>
      <w:r w:rsidR="00D76BD8">
        <w:rPr>
          <w:rFonts w:ascii="PT Astra Serif" w:hAnsi="PT Astra Serif"/>
        </w:rPr>
        <w:t xml:space="preserve"> на 2024 год </w:t>
      </w:r>
      <w:r w:rsidR="00D76BD8" w:rsidRPr="00D76BD8">
        <w:rPr>
          <w:rFonts w:ascii="PT Astra Serif" w:hAnsi="PT Astra Serif"/>
        </w:rPr>
        <w:t>(</w:t>
      </w:r>
      <w:r w:rsidR="00D76BD8" w:rsidRPr="00D76BD8">
        <w:rPr>
          <w:rFonts w:ascii="PT Astra Serif" w:hAnsi="PT Astra Serif" w:hint="eastAsia"/>
        </w:rPr>
        <w:t>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том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числе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Расходы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содержание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обеспечение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деятельно</w:t>
      </w:r>
      <w:bookmarkStart w:id="3" w:name="_GoBack"/>
      <w:bookmarkEnd w:id="3"/>
      <w:r w:rsidR="00D76BD8" w:rsidRPr="00D76BD8">
        <w:rPr>
          <w:rFonts w:ascii="PT Astra Serif" w:hAnsi="PT Astra Serif" w:hint="eastAsia"/>
        </w:rPr>
        <w:t>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органов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местного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самоуправления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субвенция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осуществление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полномочий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хранению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комплектованию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учету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использованию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архивных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документов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относящихся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к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государственной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собственности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Ханты</w:t>
      </w:r>
      <w:r w:rsidR="00D76BD8" w:rsidRPr="00D76BD8">
        <w:rPr>
          <w:rFonts w:ascii="PT Astra Serif" w:hAnsi="PT Astra Serif"/>
        </w:rPr>
        <w:t>-</w:t>
      </w:r>
      <w:r w:rsidR="00D76BD8" w:rsidRPr="00D76BD8">
        <w:rPr>
          <w:rFonts w:ascii="PT Astra Serif" w:hAnsi="PT Astra Serif" w:hint="eastAsia"/>
        </w:rPr>
        <w:t>Мансийского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автономного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округа</w:t>
      </w:r>
      <w:r w:rsidR="00D76BD8" w:rsidRPr="00D76BD8">
        <w:rPr>
          <w:rFonts w:ascii="PT Astra Serif" w:hAnsi="PT Astra Serif"/>
        </w:rPr>
        <w:t xml:space="preserve"> – </w:t>
      </w:r>
      <w:r w:rsidR="00D76BD8" w:rsidRPr="00D76BD8">
        <w:rPr>
          <w:rFonts w:ascii="PT Astra Serif" w:hAnsi="PT Astra Serif" w:hint="eastAsia"/>
        </w:rPr>
        <w:t>Югры</w:t>
      </w:r>
      <w:r w:rsidR="00D76BD8" w:rsidRPr="00D76BD8">
        <w:rPr>
          <w:rFonts w:ascii="PT Astra Serif" w:hAnsi="PT Astra Serif"/>
        </w:rPr>
        <w:t>)</w:t>
      </w:r>
    </w:p>
    <w:p w14:paraId="02F9CBC7" w14:textId="77777777" w:rsidR="004F2B4F" w:rsidRPr="003530A3" w:rsidRDefault="00D273CD" w:rsidP="004F2B4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4" w:name="P229"/>
      <w:bookmarkEnd w:id="4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Расчёт за оказанные услуги осуществляется ежемесячно в течение 7(семи) рабочих дней со дня подписания Заказчиком структурированного документа о приёмке. В случае</w:t>
      </w:r>
      <w:proofErr w:type="gramStart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,</w:t>
      </w:r>
      <w:proofErr w:type="gramEnd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если расчётным периодом является декабрь, расчёт производится не позднее 20 декабря 2024 года.</w:t>
      </w:r>
    </w:p>
    <w:p w14:paraId="67522487" w14:textId="440B5028" w:rsidR="00D273CD" w:rsidRPr="003530A3" w:rsidRDefault="00D273CD" w:rsidP="004F2B4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5" w:name="P243"/>
      <w:bookmarkEnd w:id="5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10036F5A" w14:textId="3C73B67B" w:rsidR="001D6E7D" w:rsidRPr="003530A3" w:rsidRDefault="001D6E7D" w:rsidP="001D6E7D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7FE9B003" w14:textId="363CF2EF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67EEC50" w14:textId="5B8D22D5" w:rsidR="002C0650" w:rsidRPr="003530A3" w:rsidRDefault="00D273CD" w:rsidP="003758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11 873 (одиннадцать тысяч восемьсот семьдесят три) рубля 99 копеек.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9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7"/>
      <w:bookmarkEnd w:id="6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37584D">
      <w:pPr>
        <w:autoSpaceDE w:val="0"/>
        <w:autoSpaceDN w:val="0"/>
        <w:adjustRightInd w:val="0"/>
        <w:ind w:firstLine="540"/>
        <w:rPr>
          <w:rFonts w:ascii="PT Astra Serif" w:hAnsi="PT Astra Serif"/>
          <w:sz w:val="24"/>
          <w:szCs w:val="24"/>
        </w:rPr>
      </w:pPr>
      <w:bookmarkStart w:id="7" w:name="Par238"/>
      <w:bookmarkEnd w:id="7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8" w:name="Par239"/>
      <w:bookmarkEnd w:id="8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обязательств для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37584D">
      <w:pPr>
        <w:autoSpaceDE w:val="0"/>
        <w:autoSpaceDN w:val="0"/>
        <w:adjustRightInd w:val="0"/>
        <w:ind w:firstLine="540"/>
        <w:rPr>
          <w:rFonts w:ascii="PT Astra Serif" w:hAnsi="PT Astra Serif"/>
          <w:sz w:val="24"/>
          <w:szCs w:val="24"/>
        </w:rPr>
      </w:pPr>
      <w:bookmarkStart w:id="9" w:name="Par244"/>
      <w:bookmarkEnd w:id="9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 предусмотрена выплата аванса).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6B558F60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C6A55ED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D76BD8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3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4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10" w:name="Par277"/>
      <w:bookmarkEnd w:id="10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D76BD8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6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1" w:name="Par293"/>
      <w:bookmarkEnd w:id="11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D76BD8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3530A3" w:rsidRDefault="00D273CD" w:rsidP="002773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9. Порядок урегулирования споров</w:t>
      </w:r>
    </w:p>
    <w:p w14:paraId="07318F34" w14:textId="4FF0362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14:paraId="134F6801" w14:textId="2D19CD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9.2.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ств др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угая Сторона может направить претензию. В отношении всех претензий, направляемых по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ее получения.</w:t>
      </w:r>
    </w:p>
    <w:p w14:paraId="6855A4FC" w14:textId="51E8492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    9.3</w:t>
      </w:r>
      <w:r w:rsidR="001A094F" w:rsidRPr="003530A3">
        <w:rPr>
          <w:rFonts w:ascii="PT Astra Serif" w:hAnsi="PT Astra Serif"/>
          <w:sz w:val="24"/>
          <w:szCs w:val="24"/>
        </w:rPr>
        <w:t>.</w:t>
      </w:r>
      <w:r w:rsidRPr="003530A3">
        <w:rPr>
          <w:rFonts w:ascii="PT Astra Serif" w:hAnsi="PT Astra Serif"/>
          <w:sz w:val="24"/>
          <w:szCs w:val="24"/>
        </w:rPr>
        <w:t xml:space="preserve"> Любые споры, не урегулированные во внесудебном порядке, разрешаются в судебном порядке.</w:t>
      </w:r>
    </w:p>
    <w:p w14:paraId="4DAC6BE4" w14:textId="77777777" w:rsidR="009F77EB" w:rsidRPr="003530A3" w:rsidRDefault="009F77EB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2773C4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59B2411B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2" w:name="P373"/>
      <w:bookmarkEnd w:id="12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A094F" w:rsidRPr="003530A3">
        <w:rPr>
          <w:rFonts w:ascii="PT Astra Serif" w:hAnsi="PT Astra Serif" w:cs="Times New Roman"/>
          <w:sz w:val="24"/>
          <w:szCs w:val="24"/>
        </w:rPr>
        <w:t>31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1A094F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8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квалифицированной электронной подписи, предусмотренной Федеральным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корреспонденция не вручена в связи с отсутствием Стороны по указанному адресу,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чем организация почтовой связи уведомила отправителя.</w:t>
      </w:r>
    </w:p>
    <w:p w14:paraId="6F8A067E" w14:textId="78DC1C4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Любые изменения и дополнения к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письменной форме.</w:t>
      </w:r>
    </w:p>
    <w:p w14:paraId="1D27F933" w14:textId="1B75A8FC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D76BD8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D76BD8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D76BD8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77777777" w:rsidR="00D273CD" w:rsidRPr="003530A3" w:rsidRDefault="00D76BD8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</w:t>
      </w:r>
      <w:proofErr w:type="gramStart"/>
      <w:r w:rsidR="00D273CD" w:rsidRPr="003530A3">
        <w:rPr>
          <w:rFonts w:ascii="PT Astra Serif" w:hAnsi="PT Astra Serif" w:cs="Times New Roman"/>
          <w:sz w:val="24"/>
          <w:szCs w:val="24"/>
        </w:rPr>
        <w:t>снятии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охраны;</w:t>
      </w:r>
    </w:p>
    <w:p w14:paraId="365BCB9D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BC5F101" w14:textId="77777777" w:rsidR="003530A3" w:rsidRDefault="003530A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0CC2A70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628260, Тюменская область, Ханты-Мансийский автономный округ – Югра, г. Югорск, ул. 40 лет Победы, д. 11</w:t>
            </w:r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Югорск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РКЦ Ханты-Мансийск // УФК по Ханты-Мансийскому автономному округу – Югре г. Ханты-Мансийск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1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lastRenderedPageBreak/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lastRenderedPageBreak/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____________________</w:t>
            </w:r>
          </w:p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0766409D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(ИКЗ № 233862200236886220100102380018010244) 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Зав. по АХР                                                                                                        Д. В. Питиримов</w:t>
      </w:r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097A1C67" w14:textId="749337AB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4905C1">
        <w:rPr>
          <w:rFonts w:ascii="PT Astra Serif" w:hAnsi="PT Astra Serif"/>
          <w:color w:val="00000A"/>
          <w:sz w:val="24"/>
          <w:szCs w:val="24"/>
        </w:rPr>
        <w:t>А.С. Власов</w:t>
      </w:r>
    </w:p>
    <w:p w14:paraId="2CA04B00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7568A195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  <w:t xml:space="preserve">                   В.Н. Ермакова</w:t>
      </w:r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90EB5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A1F6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27D413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3ABBD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44BBB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E20D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01CC1E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A47D4F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0C21952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520F7E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429312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B4FD5D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0CA5B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E27F1C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D73398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8736E5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F5D38E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65CD75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2BD6A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79BAD26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4E7F04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06BB218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E9BFCF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143623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1AFE4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39A4CD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8222B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87B1EDF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65C410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C37989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BE593A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5F1DE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90A05E6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4D832F8" w14:textId="77777777" w:rsidR="004905C1" w:rsidRDefault="004905C1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5D4436D0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3530A3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3" w:name="P434"/>
      <w:bookmarkEnd w:id="13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72EB1AD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7FFAD207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CBA6B6B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6B7C16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83B54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5CEC9A2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91A25FD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B304875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9CC11EA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75B4DEB5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1409A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bookmarkStart w:id="14" w:name="P518"/>
      <w:bookmarkEnd w:id="14"/>
    </w:p>
    <w:p w14:paraId="1FF961C0" w14:textId="77777777" w:rsidR="003530A3" w:rsidRPr="003530A3" w:rsidRDefault="003530A3" w:rsidP="003530A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3530A3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3D27D8B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530A3">
        <w:rPr>
          <w:rFonts w:ascii="PT Astra Serif" w:eastAsia="Calibri" w:hAnsi="PT Astra Serif"/>
          <w:b/>
          <w:sz w:val="24"/>
          <w:szCs w:val="24"/>
          <w:lang w:eastAsia="en-US"/>
        </w:rPr>
        <w:t xml:space="preserve">на оказание услуг по централизованной охране объектов </w:t>
      </w:r>
    </w:p>
    <w:p w14:paraId="3CB0E54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14:paraId="6957B81E" w14:textId="77777777" w:rsidR="003530A3" w:rsidRPr="003530A3" w:rsidRDefault="003530A3" w:rsidP="003530A3">
      <w:pPr>
        <w:tabs>
          <w:tab w:val="left" w:pos="1440"/>
        </w:tabs>
        <w:suppressAutoHyphens/>
        <w:ind w:right="-169" w:firstLine="72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napToGrid w:val="0"/>
          <w:sz w:val="24"/>
          <w:szCs w:val="24"/>
        </w:rPr>
        <w:t xml:space="preserve">1. </w:t>
      </w:r>
      <w:proofErr w:type="gramStart"/>
      <w:r w:rsidRPr="003530A3">
        <w:rPr>
          <w:rFonts w:ascii="PT Astra Serif" w:hAnsi="PT Astra Serif"/>
          <w:snapToGrid w:val="0"/>
          <w:sz w:val="24"/>
          <w:szCs w:val="24"/>
        </w:rPr>
        <w:t xml:space="preserve">«Исполнитель» принимает под централизованную охрану имущество, принадлежащее «Заказчику» на праве собственности, оперативного управления, хозяйственного ведения, ином праве или переданное ему на хранение в установленном законом порядке и хранящееся в помещениях, в дальнейшем объект (объекты), оборудованные техническими средствами охраны (ТСО) и элементами технической </w:t>
      </w:r>
      <w:proofErr w:type="spellStart"/>
      <w:r w:rsidRPr="003530A3">
        <w:rPr>
          <w:rFonts w:ascii="PT Astra Serif" w:hAnsi="PT Astra Serif"/>
          <w:snapToGrid w:val="0"/>
          <w:sz w:val="24"/>
          <w:szCs w:val="24"/>
        </w:rPr>
        <w:t>укрепленности</w:t>
      </w:r>
      <w:proofErr w:type="spellEnd"/>
      <w:r w:rsidRPr="003530A3">
        <w:rPr>
          <w:rFonts w:ascii="PT Astra Serif" w:hAnsi="PT Astra Serif"/>
          <w:snapToGrid w:val="0"/>
          <w:sz w:val="24"/>
          <w:szCs w:val="24"/>
        </w:rPr>
        <w:t xml:space="preserve"> (ТУ) в соответствии с действующей нормативно-технической документацией и актами обследования, от несанкционированного проникновения посторонних лиц в охраняемое</w:t>
      </w:r>
      <w:proofErr w:type="gramEnd"/>
      <w:r w:rsidRPr="003530A3">
        <w:rPr>
          <w:rFonts w:ascii="PT Astra Serif" w:hAnsi="PT Astra Serif"/>
          <w:snapToGrid w:val="0"/>
          <w:sz w:val="24"/>
          <w:szCs w:val="24"/>
        </w:rPr>
        <w:t xml:space="preserve"> время,</w:t>
      </w:r>
      <w:r w:rsidRPr="003530A3">
        <w:rPr>
          <w:rFonts w:ascii="PT Astra Serif" w:hAnsi="PT Astra Serif"/>
          <w:sz w:val="24"/>
          <w:szCs w:val="24"/>
        </w:rPr>
        <w:t xml:space="preserve"> согласно перечню охраняемых объектов:</w:t>
      </w:r>
    </w:p>
    <w:p w14:paraId="653F3801" w14:textId="77777777" w:rsidR="003530A3" w:rsidRPr="003530A3" w:rsidRDefault="003530A3" w:rsidP="003530A3">
      <w:pPr>
        <w:tabs>
          <w:tab w:val="left" w:pos="1440"/>
        </w:tabs>
        <w:suppressAutoHyphens/>
        <w:ind w:firstLine="720"/>
        <w:jc w:val="right"/>
        <w:rPr>
          <w:rFonts w:ascii="PT Astra Serif" w:hAnsi="PT Astra Serif"/>
          <w:b/>
          <w:sz w:val="24"/>
          <w:szCs w:val="24"/>
        </w:rPr>
      </w:pPr>
      <w:r w:rsidRPr="003530A3">
        <w:rPr>
          <w:rFonts w:ascii="PT Astra Serif" w:hAnsi="PT Astra Serif"/>
          <w:b/>
          <w:sz w:val="24"/>
          <w:szCs w:val="24"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992"/>
        <w:gridCol w:w="1134"/>
        <w:gridCol w:w="1134"/>
        <w:gridCol w:w="1134"/>
      </w:tblGrid>
      <w:tr w:rsidR="003530A3" w:rsidRPr="003530A3" w14:paraId="3C9A0574" w14:textId="77777777" w:rsidTr="00147379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455467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21E79A9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2E3AF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98BE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Вид охраны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DC39E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Часы охраны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A629A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Месяц</w:t>
            </w:r>
          </w:p>
        </w:tc>
      </w:tr>
      <w:tr w:rsidR="003530A3" w:rsidRPr="003530A3" w14:paraId="08282435" w14:textId="77777777" w:rsidTr="00147379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7BCFF5C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413B2F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C4D2D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975B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85F81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 раб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д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14:paraId="168BB246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в </w:t>
            </w:r>
            <w:proofErr w:type="spell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вых</w:t>
            </w:r>
            <w:proofErr w:type="spell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 дни</w:t>
            </w:r>
          </w:p>
        </w:tc>
        <w:tc>
          <w:tcPr>
            <w:tcW w:w="1134" w:type="dxa"/>
            <w:vMerge/>
            <w:shd w:val="clear" w:color="auto" w:fill="auto"/>
          </w:tcPr>
          <w:p w14:paraId="0842DD1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530A3" w:rsidRPr="003530A3" w14:paraId="607FAA71" w14:textId="77777777" w:rsidTr="00147379">
        <w:tc>
          <w:tcPr>
            <w:tcW w:w="534" w:type="dxa"/>
            <w:shd w:val="clear" w:color="auto" w:fill="auto"/>
          </w:tcPr>
          <w:p w14:paraId="0701B3DD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75DD802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(Департамент жилищно-коммунального и строительного комплекса)</w:t>
            </w:r>
          </w:p>
        </w:tc>
        <w:tc>
          <w:tcPr>
            <w:tcW w:w="1984" w:type="dxa"/>
            <w:shd w:val="clear" w:color="auto" w:fill="auto"/>
          </w:tcPr>
          <w:p w14:paraId="1634C3CF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Механизаторов 22</w:t>
            </w:r>
          </w:p>
        </w:tc>
        <w:tc>
          <w:tcPr>
            <w:tcW w:w="992" w:type="dxa"/>
            <w:shd w:val="clear" w:color="auto" w:fill="auto"/>
          </w:tcPr>
          <w:p w14:paraId="0148921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5818AD61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5C0513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F843E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852EDF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3530A3" w:rsidRPr="003530A3" w14:paraId="009A7223" w14:textId="77777777" w:rsidTr="00147379">
        <w:tc>
          <w:tcPr>
            <w:tcW w:w="534" w:type="dxa"/>
            <w:shd w:val="clear" w:color="auto" w:fill="auto"/>
          </w:tcPr>
          <w:p w14:paraId="1CBA941C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CD0AE98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(сектор специальных мероприятий, кабинет 226; служебное помещение, кабинет 412)</w:t>
            </w:r>
          </w:p>
        </w:tc>
        <w:tc>
          <w:tcPr>
            <w:tcW w:w="1984" w:type="dxa"/>
            <w:shd w:val="clear" w:color="auto" w:fill="auto"/>
          </w:tcPr>
          <w:p w14:paraId="2CC6CE71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40 лет Победы 11</w:t>
            </w:r>
          </w:p>
        </w:tc>
        <w:tc>
          <w:tcPr>
            <w:tcW w:w="992" w:type="dxa"/>
            <w:shd w:val="clear" w:color="auto" w:fill="auto"/>
          </w:tcPr>
          <w:p w14:paraId="61EA9AF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0048E93B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08281F9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02B8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CA21207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3530A3" w:rsidRPr="003530A3" w14:paraId="649BA47F" w14:textId="77777777" w:rsidTr="00147379">
        <w:tc>
          <w:tcPr>
            <w:tcW w:w="534" w:type="dxa"/>
            <w:shd w:val="clear" w:color="auto" w:fill="auto"/>
          </w:tcPr>
          <w:p w14:paraId="40196243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8DB6B00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 (Архив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4A4A8F5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Железнодорожная, д.43/1</w:t>
            </w:r>
          </w:p>
        </w:tc>
        <w:tc>
          <w:tcPr>
            <w:tcW w:w="992" w:type="dxa"/>
            <w:shd w:val="clear" w:color="auto" w:fill="auto"/>
          </w:tcPr>
          <w:p w14:paraId="3BF27D3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60B9B7DC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FCF64D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5B5CF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60B8FE1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3530A3" w:rsidRPr="003530A3" w14:paraId="0A4E6A52" w14:textId="77777777" w:rsidTr="00147379">
        <w:tc>
          <w:tcPr>
            <w:tcW w:w="534" w:type="dxa"/>
            <w:shd w:val="clear" w:color="auto" w:fill="auto"/>
          </w:tcPr>
          <w:p w14:paraId="42027C58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74691E7F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 (Архив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FC3E8DE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горск-2 д.1 помещение №200</w:t>
            </w:r>
          </w:p>
        </w:tc>
        <w:tc>
          <w:tcPr>
            <w:tcW w:w="992" w:type="dxa"/>
            <w:shd w:val="clear" w:color="auto" w:fill="auto"/>
          </w:tcPr>
          <w:p w14:paraId="19C97AD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617B77FB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58B6B026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390851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</w:tbl>
    <w:p w14:paraId="7D5190A5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2.  </w:t>
      </w:r>
      <w:proofErr w:type="gramStart"/>
      <w:r w:rsidRPr="003530A3">
        <w:rPr>
          <w:rFonts w:ascii="PT Astra Serif" w:hAnsi="PT Astra Serif"/>
          <w:sz w:val="24"/>
          <w:szCs w:val="24"/>
        </w:rPr>
        <w:t>Централизованное наблюдение осуществляется за установленными на объекте ТСО, подключенными к пульту централизованного наблюдения (ПЦН).</w:t>
      </w:r>
      <w:proofErr w:type="gramEnd"/>
    </w:p>
    <w:p w14:paraId="3D27075F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3.Экстренный выезд на объект наряда «Исполнителя» осуществляется при поступлении на ПЦН тревожного извещения, сформированного ТСО, для выяснения причин их срабатывания, пресечения незаконного проникновения посторонних лиц на объект.</w:t>
      </w:r>
    </w:p>
    <w:p w14:paraId="1D52A40D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4.Оснащение «Исполнителем» нарядов групп задержания автоматическим и табельным оружием.</w:t>
      </w:r>
    </w:p>
    <w:p w14:paraId="066C46B7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5.«Исполнитель» должен осуществлять контроль, за технической эксплуатацией ТСО, установленных на объекте и выведенных на ПЦН.</w:t>
      </w:r>
    </w:p>
    <w:p w14:paraId="02E1929B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>6.Наличие у «Исполнителя» связи с дежурной частью территориальных подразделений органов внутренних дел России.</w:t>
      </w:r>
    </w:p>
    <w:p w14:paraId="22C1F9A9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7.Охрана объектов должна осуществляться по проводной телефонной линии.</w:t>
      </w:r>
    </w:p>
    <w:p w14:paraId="06938877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8.Объект принимается под централизованную охрану на период отсутствия «Заказчика» на объекте.</w:t>
      </w:r>
    </w:p>
    <w:p w14:paraId="64E6ECF5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9.Факты и время поступления на ПЦН тревожного извещения, прибытия наряда «Исполнителя» на объект фиксируются на магнитном носителе ПЦН и (или) в контрольных листах ПЦН. Сведения о </w:t>
      </w:r>
      <w:proofErr w:type="gramStart"/>
      <w:r w:rsidRPr="003530A3">
        <w:rPr>
          <w:rFonts w:ascii="PT Astra Serif" w:hAnsi="PT Astra Serif"/>
          <w:sz w:val="24"/>
          <w:szCs w:val="24"/>
        </w:rPr>
        <w:t>поступлении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на ПЦН тревожного извещения, прибытия наряда «Исполнителя» на объект, отраженные в протоколе ПЦН и (или) контрольных листах ПЦН, являются достаточным доказательством, подтверждающим принятие тревожного извещения и отработку его.</w:t>
      </w:r>
    </w:p>
    <w:p w14:paraId="0A1D67E5" w14:textId="77777777" w:rsidR="003530A3" w:rsidRPr="003530A3" w:rsidRDefault="003530A3" w:rsidP="003530A3">
      <w:pPr>
        <w:tabs>
          <w:tab w:val="left" w:pos="0"/>
        </w:tabs>
        <w:spacing w:after="60"/>
        <w:ind w:firstLine="567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10.Услуги должны быть выполнены в соответствии с ГОСТ </w:t>
      </w:r>
      <w:proofErr w:type="gramStart"/>
      <w:r w:rsidRPr="003530A3">
        <w:rPr>
          <w:rFonts w:ascii="PT Astra Serif" w:hAnsi="PT Astra Serif"/>
          <w:sz w:val="24"/>
          <w:szCs w:val="24"/>
        </w:rPr>
        <w:t>Р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50776-95.</w:t>
      </w:r>
    </w:p>
    <w:p w14:paraId="25277D75" w14:textId="77777777" w:rsidR="003530A3" w:rsidRPr="003530A3" w:rsidRDefault="003530A3" w:rsidP="003530A3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11.Прием – сдача объектов под охрану на пульт централизованного наблюдения производится по телефонам предоставленных подразделениями «Исполнителя»  по территориальности.</w:t>
      </w:r>
    </w:p>
    <w:p w14:paraId="7704ACFE" w14:textId="77777777" w:rsidR="003530A3" w:rsidRPr="003530A3" w:rsidRDefault="003530A3" w:rsidP="003530A3">
      <w:pPr>
        <w:autoSpaceDE w:val="0"/>
        <w:autoSpaceDN w:val="0"/>
        <w:adjustRightInd w:val="0"/>
        <w:ind w:firstLine="567"/>
        <w:rPr>
          <w:rFonts w:ascii="PT Astra Serif" w:hAnsi="PT Astra Serif"/>
          <w:bCs/>
          <w:sz w:val="24"/>
          <w:szCs w:val="24"/>
        </w:rPr>
      </w:pPr>
      <w:r w:rsidRPr="003530A3">
        <w:rPr>
          <w:rFonts w:ascii="PT Astra Serif" w:hAnsi="PT Astra Serif"/>
          <w:bCs/>
          <w:sz w:val="24"/>
          <w:szCs w:val="24"/>
        </w:rPr>
        <w:t>12. ОКПД</w:t>
      </w:r>
      <w:proofErr w:type="gramStart"/>
      <w:r w:rsidRPr="003530A3">
        <w:rPr>
          <w:rFonts w:ascii="PT Astra Serif" w:hAnsi="PT Astra Serif"/>
          <w:bCs/>
          <w:sz w:val="24"/>
          <w:szCs w:val="24"/>
        </w:rPr>
        <w:t>2</w:t>
      </w:r>
      <w:proofErr w:type="gramEnd"/>
      <w:r w:rsidRPr="003530A3">
        <w:rPr>
          <w:rFonts w:ascii="PT Astra Serif" w:hAnsi="PT Astra Serif"/>
          <w:bCs/>
          <w:sz w:val="24"/>
          <w:szCs w:val="24"/>
        </w:rPr>
        <w:t xml:space="preserve"> – 80.10.12.100.</w:t>
      </w:r>
    </w:p>
    <w:p w14:paraId="096D9505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4BFAA75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color w:val="00000A"/>
          <w:sz w:val="24"/>
          <w:szCs w:val="24"/>
          <w:u w:val="singl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3530A3" w:rsidRPr="003530A3" w14:paraId="60F56C55" w14:textId="77777777" w:rsidTr="00147379">
        <w:tc>
          <w:tcPr>
            <w:tcW w:w="4730" w:type="dxa"/>
          </w:tcPr>
          <w:p w14:paraId="69F1F211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01E06AFE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9754C92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44073CA8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4AECBA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20C8931A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49C00B76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7847E7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4249DA70" w14:textId="77777777" w:rsidR="003530A3" w:rsidRPr="003530A3" w:rsidRDefault="003530A3" w:rsidP="003530A3">
      <w:pPr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</w:p>
    <w:p w14:paraId="3A1F4B6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9C4AD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EF07B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431D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A5202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A8C69C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D804C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73BD8F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DFEC4E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D3ED70" w14:textId="24FADED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4398B3" w14:textId="0745E685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FA9277A" w14:textId="375C3EC6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E10865" w14:textId="1C0BFC0F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D3639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44E949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5A7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699F3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B15F4B5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59936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78B37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F19C202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711C67EE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4F22D8E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560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9D33FF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49610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5C77F0B" w14:textId="77777777" w:rsidR="00E5669B" w:rsidRDefault="00E5669B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F757A03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8D683BB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8887114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566E56E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3530A3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6" w:name="P615"/>
            <w:bookmarkEnd w:id="16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о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снятии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охраны</w:t>
            </w:r>
          </w:p>
        </w:tc>
      </w:tr>
      <w:tr w:rsidR="00D273CD" w:rsidRPr="003530A3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E5669B">
      <w:headerReference w:type="default" r:id="rId22"/>
      <w:pgSz w:w="11909" w:h="16834"/>
      <w:pgMar w:top="454" w:right="569" w:bottom="397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8567C" w14:textId="77777777" w:rsidR="00A26128" w:rsidRDefault="00A26128" w:rsidP="00CD0290">
      <w:r>
        <w:separator/>
      </w:r>
    </w:p>
  </w:endnote>
  <w:endnote w:type="continuationSeparator" w:id="0">
    <w:p w14:paraId="161E31E6" w14:textId="77777777" w:rsidR="00A26128" w:rsidRDefault="00A26128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ED5DD" w14:textId="77777777" w:rsidR="00A26128" w:rsidRDefault="00A26128" w:rsidP="00CD0290">
      <w:r>
        <w:separator/>
      </w:r>
    </w:p>
  </w:footnote>
  <w:footnote w:type="continuationSeparator" w:id="0">
    <w:p w14:paraId="791972C1" w14:textId="77777777" w:rsidR="00A26128" w:rsidRDefault="00A26128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D8">
          <w:rPr>
            <w:noProof/>
          </w:rPr>
          <w:t>4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D7445"/>
    <w:rsid w:val="0015533B"/>
    <w:rsid w:val="001608C4"/>
    <w:rsid w:val="001A094F"/>
    <w:rsid w:val="001B414B"/>
    <w:rsid w:val="001D6E7D"/>
    <w:rsid w:val="002034AE"/>
    <w:rsid w:val="00206A1C"/>
    <w:rsid w:val="00207FC9"/>
    <w:rsid w:val="00220B7B"/>
    <w:rsid w:val="00226D1A"/>
    <w:rsid w:val="002511AD"/>
    <w:rsid w:val="00266EEE"/>
    <w:rsid w:val="002773C4"/>
    <w:rsid w:val="00285666"/>
    <w:rsid w:val="002C0650"/>
    <w:rsid w:val="002E6373"/>
    <w:rsid w:val="00326431"/>
    <w:rsid w:val="003530A3"/>
    <w:rsid w:val="0036113F"/>
    <w:rsid w:val="0037584D"/>
    <w:rsid w:val="003C1E19"/>
    <w:rsid w:val="003C2C39"/>
    <w:rsid w:val="004603BD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B74FA"/>
    <w:rsid w:val="005D190B"/>
    <w:rsid w:val="005D5CA4"/>
    <w:rsid w:val="00616D6C"/>
    <w:rsid w:val="0063152B"/>
    <w:rsid w:val="00662871"/>
    <w:rsid w:val="00692657"/>
    <w:rsid w:val="006C5F4E"/>
    <w:rsid w:val="00723422"/>
    <w:rsid w:val="007A4B98"/>
    <w:rsid w:val="007C6A25"/>
    <w:rsid w:val="007E43EF"/>
    <w:rsid w:val="007F5D8F"/>
    <w:rsid w:val="008172CE"/>
    <w:rsid w:val="00863798"/>
    <w:rsid w:val="008645D5"/>
    <w:rsid w:val="00886993"/>
    <w:rsid w:val="008A7E3A"/>
    <w:rsid w:val="00932710"/>
    <w:rsid w:val="009330CE"/>
    <w:rsid w:val="00933780"/>
    <w:rsid w:val="009551F8"/>
    <w:rsid w:val="00986CA7"/>
    <w:rsid w:val="009A21D6"/>
    <w:rsid w:val="009D2CFD"/>
    <w:rsid w:val="009E0418"/>
    <w:rsid w:val="009F77EB"/>
    <w:rsid w:val="00A06728"/>
    <w:rsid w:val="00A13E85"/>
    <w:rsid w:val="00A26128"/>
    <w:rsid w:val="00AC4580"/>
    <w:rsid w:val="00B20BA2"/>
    <w:rsid w:val="00B33F6E"/>
    <w:rsid w:val="00B6693F"/>
    <w:rsid w:val="00B71538"/>
    <w:rsid w:val="00B96FB1"/>
    <w:rsid w:val="00BF06E5"/>
    <w:rsid w:val="00C15466"/>
    <w:rsid w:val="00C242F7"/>
    <w:rsid w:val="00C70569"/>
    <w:rsid w:val="00CB614A"/>
    <w:rsid w:val="00CD0290"/>
    <w:rsid w:val="00CE741C"/>
    <w:rsid w:val="00D273CD"/>
    <w:rsid w:val="00D34A11"/>
    <w:rsid w:val="00D4226D"/>
    <w:rsid w:val="00D76BD8"/>
    <w:rsid w:val="00DA60CF"/>
    <w:rsid w:val="00DB28C0"/>
    <w:rsid w:val="00DD49AA"/>
    <w:rsid w:val="00DF1606"/>
    <w:rsid w:val="00E01DE5"/>
    <w:rsid w:val="00E0480B"/>
    <w:rsid w:val="00E45DB9"/>
    <w:rsid w:val="00E5669B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57AD7C343A708190FBAAD49F9C7BE82F7895511F03B228FA398C03435A20541D8A7AD61ECDD93F43816881D422F8A97B5462600Be8S7G" TargetMode="External"/><Relationship Id="rId18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@ygo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0" Type="http://schemas.openxmlformats.org/officeDocument/2006/relationships/hyperlink" Target="consultantplus://offline/ref=BAA57F9A88C66CFCC720A999A759A1BC83968EAA5312C05B682F8D8F43023CC8C60047D7825AA88E3F1F6BD2BA53XA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AD7C343A708190FBAAD49F9C7BE82F7893511B0DB628FA398C03435A20541D8A7AD61AC2D93F43816881D422F8A97B5462600Be8S7G" TargetMode="External"/><Relationship Id="rId19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Ловыгина Наталья Борисовна</cp:lastModifiedBy>
  <cp:revision>10</cp:revision>
  <cp:lastPrinted>2023-12-12T05:40:00Z</cp:lastPrinted>
  <dcterms:created xsi:type="dcterms:W3CDTF">2023-12-11T12:42:00Z</dcterms:created>
  <dcterms:modified xsi:type="dcterms:W3CDTF">2023-12-12T07:34:00Z</dcterms:modified>
</cp:coreProperties>
</file>