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9E" w:rsidRP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  <w:r w:rsidRPr="008E359E">
        <w:rPr>
          <w:rFonts w:ascii="Times New Roman" w:hAnsi="Times New Roman" w:cs="Times New Roman"/>
          <w:b/>
          <w:sz w:val="24"/>
        </w:rPr>
        <w:t>Муниципальное образование  городской округ – город Югорск</w:t>
      </w:r>
    </w:p>
    <w:p w:rsidR="008E359E" w:rsidRP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  <w:r w:rsidRPr="008E359E">
        <w:rPr>
          <w:rFonts w:ascii="Times New Roman" w:hAnsi="Times New Roman" w:cs="Times New Roman"/>
          <w:b/>
          <w:sz w:val="24"/>
        </w:rPr>
        <w:t>Администрация города Югорска</w:t>
      </w:r>
    </w:p>
    <w:p w:rsidR="008E359E" w:rsidRP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  <w:r w:rsidRPr="008E359E">
        <w:rPr>
          <w:rFonts w:ascii="Times New Roman" w:hAnsi="Times New Roman" w:cs="Times New Roman"/>
          <w:b/>
          <w:sz w:val="24"/>
        </w:rPr>
        <w:t>ПРОТОКОЛ</w:t>
      </w:r>
    </w:p>
    <w:p w:rsid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  <w:r w:rsidRPr="008E359E">
        <w:rPr>
          <w:rFonts w:ascii="Times New Roman" w:hAnsi="Times New Roman" w:cs="Times New Roman"/>
          <w:b/>
          <w:sz w:val="24"/>
        </w:rPr>
        <w:t>подведения итогов аукциона в электронной форме</w:t>
      </w:r>
    </w:p>
    <w:p w:rsidR="002D79B8" w:rsidRPr="008E359E" w:rsidRDefault="002D79B8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</w:p>
    <w:p w:rsidR="008E359E" w:rsidRDefault="00B02FA3" w:rsidP="008E359E">
      <w:pPr>
        <w:spacing w:after="0" w:line="240" w:lineRule="auto"/>
        <w:ind w:left="-142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</w:t>
      </w:r>
      <w:r w:rsidR="008E359E" w:rsidRPr="008E359E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="008E359E" w:rsidRPr="008E359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8E359E" w:rsidRPr="008E359E">
        <w:rPr>
          <w:rFonts w:ascii="Times New Roman" w:hAnsi="Times New Roman" w:cs="Times New Roman"/>
          <w:sz w:val="24"/>
          <w:szCs w:val="24"/>
        </w:rPr>
        <w:t xml:space="preserve"> г.  </w:t>
      </w:r>
      <w:r w:rsidR="008E359E" w:rsidRPr="008E359E">
        <w:rPr>
          <w:rFonts w:ascii="Times New Roman" w:hAnsi="Times New Roman" w:cs="Times New Roman"/>
          <w:sz w:val="24"/>
          <w:szCs w:val="24"/>
        </w:rPr>
        <w:tab/>
      </w:r>
      <w:r w:rsidR="008E359E" w:rsidRPr="008E359E">
        <w:rPr>
          <w:rFonts w:ascii="Times New Roman" w:hAnsi="Times New Roman" w:cs="Times New Roman"/>
          <w:sz w:val="24"/>
          <w:szCs w:val="24"/>
        </w:rPr>
        <w:tab/>
      </w:r>
      <w:r w:rsidR="008E359E" w:rsidRPr="008E359E">
        <w:rPr>
          <w:rFonts w:ascii="Times New Roman" w:hAnsi="Times New Roman" w:cs="Times New Roman"/>
          <w:sz w:val="24"/>
          <w:szCs w:val="24"/>
        </w:rPr>
        <w:tab/>
      </w:r>
      <w:r w:rsidR="008E359E" w:rsidRPr="008E359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E359E" w:rsidRPr="008E359E">
        <w:rPr>
          <w:rFonts w:ascii="Times New Roman" w:hAnsi="Times New Roman" w:cs="Times New Roman"/>
          <w:sz w:val="24"/>
          <w:szCs w:val="24"/>
        </w:rPr>
        <w:t xml:space="preserve"> № </w:t>
      </w:r>
      <w:hyperlink r:id="rId6" w:history="1">
        <w:r w:rsidR="008E359E" w:rsidRPr="008E359E">
          <w:rPr>
            <w:rFonts w:ascii="Times New Roman" w:hAnsi="Times New Roman" w:cs="Times New Roman"/>
            <w:sz w:val="24"/>
            <w:szCs w:val="24"/>
          </w:rPr>
          <w:t>0187300005814000</w:t>
        </w:r>
      </w:hyperlink>
      <w:r w:rsidR="008E359E" w:rsidRPr="008E359E">
        <w:rPr>
          <w:rFonts w:ascii="Times New Roman" w:hAnsi="Times New Roman" w:cs="Times New Roman"/>
          <w:sz w:val="24"/>
          <w:szCs w:val="24"/>
        </w:rPr>
        <w:t>7</w:t>
      </w:r>
      <w:r w:rsidR="002D79B8">
        <w:rPr>
          <w:rFonts w:ascii="Times New Roman" w:hAnsi="Times New Roman" w:cs="Times New Roman"/>
          <w:sz w:val="24"/>
          <w:szCs w:val="24"/>
        </w:rPr>
        <w:t>66</w:t>
      </w:r>
      <w:r w:rsidR="008E359E" w:rsidRPr="008E359E">
        <w:rPr>
          <w:rFonts w:ascii="Times New Roman" w:hAnsi="Times New Roman" w:cs="Times New Roman"/>
          <w:sz w:val="24"/>
          <w:szCs w:val="24"/>
        </w:rPr>
        <w:t>-3</w:t>
      </w:r>
    </w:p>
    <w:p w:rsidR="00B02FA3" w:rsidRPr="008E359E" w:rsidRDefault="00B02FA3" w:rsidP="008E359E">
      <w:pPr>
        <w:spacing w:after="0" w:line="240" w:lineRule="auto"/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B65694" w:rsidRPr="005F6071" w:rsidRDefault="00B65694" w:rsidP="00B6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071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B65694" w:rsidRPr="005F6071" w:rsidRDefault="00B65694" w:rsidP="00B65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071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5F6071">
        <w:rPr>
          <w:rFonts w:ascii="Times New Roman" w:hAnsi="Times New Roman" w:cs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B65694" w:rsidRPr="005F6071" w:rsidRDefault="00B65694" w:rsidP="00B6569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F607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F6071">
        <w:rPr>
          <w:rFonts w:ascii="Times New Roman" w:hAnsi="Times New Roman" w:cs="Times New Roman"/>
          <w:spacing w:val="-6"/>
          <w:sz w:val="24"/>
          <w:szCs w:val="24"/>
        </w:rPr>
        <w:t>Бандурин</w:t>
      </w:r>
      <w:proofErr w:type="spellEnd"/>
      <w:r w:rsidRPr="005F6071">
        <w:rPr>
          <w:rFonts w:ascii="Times New Roman" w:hAnsi="Times New Roman" w:cs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5F6071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proofErr w:type="spellStart"/>
      <w:r w:rsidRPr="005F6071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5F6071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B65694" w:rsidRPr="005F6071" w:rsidRDefault="00B65694" w:rsidP="00B65694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F6071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B65694" w:rsidRPr="005F6071" w:rsidRDefault="00B65694" w:rsidP="00B65694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F6071">
        <w:rPr>
          <w:rFonts w:ascii="Times New Roman" w:hAnsi="Times New Roman" w:cs="Times New Roman"/>
          <w:sz w:val="24"/>
          <w:szCs w:val="24"/>
        </w:rPr>
        <w:t xml:space="preserve">2. Морозова Н.А. - советник главы города; </w:t>
      </w:r>
    </w:p>
    <w:p w:rsidR="00B65694" w:rsidRPr="005F6071" w:rsidRDefault="00B65694" w:rsidP="00B65694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F607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6071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5F6071">
        <w:rPr>
          <w:rFonts w:ascii="Times New Roman" w:hAnsi="Times New Roman" w:cs="Times New Roman"/>
          <w:sz w:val="24"/>
          <w:szCs w:val="24"/>
        </w:rPr>
        <w:t xml:space="preserve"> В. А. – заместитель председателя Думы города </w:t>
      </w:r>
      <w:r w:rsidRPr="005F6071">
        <w:rPr>
          <w:rFonts w:ascii="Times New Roman" w:hAnsi="Times New Roman" w:cs="Times New Roman"/>
          <w:spacing w:val="-6"/>
          <w:sz w:val="24"/>
          <w:szCs w:val="24"/>
        </w:rPr>
        <w:t>Югорска;</w:t>
      </w:r>
    </w:p>
    <w:p w:rsidR="00B65694" w:rsidRPr="005F6071" w:rsidRDefault="00B65694" w:rsidP="00B65694">
      <w:pPr>
        <w:spacing w:after="0" w:line="240" w:lineRule="auto"/>
        <w:ind w:right="-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F6071">
        <w:rPr>
          <w:rFonts w:ascii="Times New Roman" w:hAnsi="Times New Roman" w:cs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B65694" w:rsidRPr="005F6071" w:rsidRDefault="00B65694" w:rsidP="00B6569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F6071"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 w:rsidRPr="005F6071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5F6071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5F6071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B65694" w:rsidRPr="005F6071" w:rsidRDefault="00B65694" w:rsidP="00B6569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F6071">
        <w:rPr>
          <w:rFonts w:ascii="Times New Roman" w:hAnsi="Times New Roman" w:cs="Times New Roman"/>
          <w:sz w:val="24"/>
          <w:szCs w:val="24"/>
        </w:rPr>
        <w:t xml:space="preserve">6. </w:t>
      </w:r>
      <w:r w:rsidRPr="005F6071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Pr="005F6071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B65694" w:rsidRPr="005F6071" w:rsidRDefault="00B65694" w:rsidP="00B6569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F6071">
        <w:rPr>
          <w:rFonts w:ascii="Times New Roman" w:hAnsi="Times New Roman" w:cs="Times New Roman"/>
          <w:sz w:val="24"/>
          <w:szCs w:val="24"/>
        </w:rPr>
        <w:t>7. Захарова Н.Б. – начальник отдела муниципальных закупок.</w:t>
      </w:r>
    </w:p>
    <w:p w:rsidR="00B65694" w:rsidRPr="005F6071" w:rsidRDefault="00B65694" w:rsidP="00B6569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F6071">
        <w:rPr>
          <w:rFonts w:ascii="Times New Roman" w:hAnsi="Times New Roman" w:cs="Times New Roman"/>
          <w:sz w:val="24"/>
          <w:szCs w:val="24"/>
        </w:rPr>
        <w:t>Всего присутствовали 7 членов комиссии из 9.</w:t>
      </w:r>
    </w:p>
    <w:p w:rsidR="002D79B8" w:rsidRPr="002D79B8" w:rsidRDefault="002D79B8" w:rsidP="002D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071">
        <w:rPr>
          <w:rFonts w:ascii="Times New Roman" w:hAnsi="Times New Roman" w:cs="Times New Roman"/>
          <w:sz w:val="24"/>
        </w:rPr>
        <w:t xml:space="preserve">Представитель заказчика: </w:t>
      </w:r>
      <w:proofErr w:type="spellStart"/>
      <w:r w:rsidR="003132B3" w:rsidRPr="005F6071">
        <w:rPr>
          <w:rFonts w:ascii="Times New Roman" w:hAnsi="Times New Roman" w:cs="Times New Roman"/>
          <w:sz w:val="24"/>
        </w:rPr>
        <w:t>Дергилев</w:t>
      </w:r>
      <w:proofErr w:type="spellEnd"/>
      <w:r w:rsidR="003132B3" w:rsidRPr="005F6071">
        <w:rPr>
          <w:rFonts w:ascii="Times New Roman" w:hAnsi="Times New Roman" w:cs="Times New Roman"/>
          <w:sz w:val="24"/>
        </w:rPr>
        <w:t xml:space="preserve"> Олег Владимирович, начальник</w:t>
      </w:r>
      <w:r w:rsidR="003132B3">
        <w:rPr>
          <w:rFonts w:ascii="Times New Roman" w:hAnsi="Times New Roman" w:cs="Times New Roman"/>
          <w:sz w:val="24"/>
        </w:rPr>
        <w:t xml:space="preserve"> отдела информационных ресурсов управления информационной политики администрации города Югорска.</w:t>
      </w:r>
    </w:p>
    <w:p w:rsidR="002D79B8" w:rsidRPr="002D79B8" w:rsidRDefault="002D79B8" w:rsidP="002D79B8">
      <w:pPr>
        <w:tabs>
          <w:tab w:val="num" w:pos="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2D79B8">
        <w:rPr>
          <w:rFonts w:ascii="Times New Roman" w:hAnsi="Times New Roman" w:cs="Times New Roman"/>
          <w:sz w:val="24"/>
        </w:rPr>
        <w:t xml:space="preserve">1. Наименование аукциона: </w:t>
      </w:r>
      <w:r w:rsidRPr="002D79B8">
        <w:rPr>
          <w:rFonts w:ascii="Times New Roman" w:hAnsi="Times New Roman" w:cs="Times New Roman"/>
          <w:sz w:val="24"/>
          <w:szCs w:val="24"/>
        </w:rPr>
        <w:t>аукцион в электронной форме № 0187300005814000766</w:t>
      </w:r>
      <w:r w:rsidRPr="002D79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D79B8">
        <w:rPr>
          <w:rFonts w:ascii="Times New Roman" w:hAnsi="Times New Roman" w:cs="Times New Roman"/>
          <w:sz w:val="24"/>
          <w:szCs w:val="24"/>
        </w:rPr>
        <w:t xml:space="preserve">на право заключения муниципального </w:t>
      </w:r>
      <w:proofErr w:type="gramStart"/>
      <w:r w:rsidRPr="002D79B8">
        <w:rPr>
          <w:rFonts w:ascii="Times New Roman" w:hAnsi="Times New Roman" w:cs="Times New Roman"/>
          <w:sz w:val="24"/>
          <w:szCs w:val="24"/>
        </w:rPr>
        <w:t>контракта</w:t>
      </w:r>
      <w:proofErr w:type="gramEnd"/>
      <w:r w:rsidRPr="002D79B8">
        <w:rPr>
          <w:rFonts w:ascii="Times New Roman" w:hAnsi="Times New Roman" w:cs="Times New Roman"/>
          <w:sz w:val="24"/>
          <w:szCs w:val="24"/>
        </w:rPr>
        <w:t xml:space="preserve"> на оказание услуг по размещению информационных сообщений в электронном средстве массовой информации.</w:t>
      </w:r>
    </w:p>
    <w:p w:rsidR="002D79B8" w:rsidRPr="002D79B8" w:rsidRDefault="002D79B8" w:rsidP="002D7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9B8">
        <w:rPr>
          <w:rFonts w:ascii="Times New Roman" w:hAnsi="Times New Roman" w:cs="Times New Roman"/>
          <w:sz w:val="24"/>
        </w:rPr>
        <w:t xml:space="preserve">Номер </w:t>
      </w:r>
      <w:r w:rsidRPr="002D79B8">
        <w:rPr>
          <w:rFonts w:ascii="Times New Roman" w:hAnsi="Times New Roman" w:cs="Times New Roman"/>
          <w:sz w:val="24"/>
          <w:szCs w:val="24"/>
        </w:rPr>
        <w:t xml:space="preserve">извещения о проведении торгов на официальном сайте – </w:t>
      </w:r>
      <w:hyperlink r:id="rId7" w:history="1">
        <w:r w:rsidRPr="002D79B8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2D79B8">
        <w:rPr>
          <w:rFonts w:ascii="Times New Roman" w:hAnsi="Times New Roman" w:cs="Times New Roman"/>
          <w:sz w:val="24"/>
          <w:szCs w:val="24"/>
        </w:rPr>
        <w:t xml:space="preserve">, код аукциона 0187300005814000766, дата публикации 19.12.2014. </w:t>
      </w:r>
    </w:p>
    <w:p w:rsidR="002D79B8" w:rsidRPr="002D79B8" w:rsidRDefault="002D79B8" w:rsidP="002D79B8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9B8">
        <w:rPr>
          <w:rFonts w:ascii="Times New Roman" w:hAnsi="Times New Roman" w:cs="Times New Roman"/>
          <w:sz w:val="24"/>
          <w:szCs w:val="24"/>
        </w:rPr>
        <w:t>2. Заказчик: Администрация города Югорска. Почтовый адрес: 628260, Ханты - Мансийский автономный округ - Югра, Тюменская обл.,  </w:t>
      </w:r>
      <w:proofErr w:type="spellStart"/>
      <w:r w:rsidRPr="002D79B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2D79B8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2D79B8">
        <w:rPr>
          <w:rFonts w:ascii="Times New Roman" w:hAnsi="Times New Roman" w:cs="Times New Roman"/>
          <w:sz w:val="24"/>
          <w:szCs w:val="24"/>
        </w:rPr>
        <w:t>горск</w:t>
      </w:r>
      <w:proofErr w:type="spellEnd"/>
      <w:r w:rsidRPr="002D79B8">
        <w:rPr>
          <w:rFonts w:ascii="Times New Roman" w:hAnsi="Times New Roman" w:cs="Times New Roman"/>
          <w:sz w:val="24"/>
          <w:szCs w:val="24"/>
        </w:rPr>
        <w:t>, ул. 40 лет Победы, 11.</w:t>
      </w:r>
    </w:p>
    <w:p w:rsidR="002D79B8" w:rsidRPr="002D79B8" w:rsidRDefault="002D79B8" w:rsidP="002D79B8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9B8">
        <w:rPr>
          <w:rFonts w:ascii="Times New Roman" w:hAnsi="Times New Roman" w:cs="Times New Roman"/>
          <w:sz w:val="24"/>
        </w:rPr>
        <w:t xml:space="preserve">3. Процедура рассмотрения первых частей заявок на участие в аукционе была проведена комиссией в 10.00 часов 30 декабря 2014 года, по адресу: ул. </w:t>
      </w:r>
      <w:r w:rsidRPr="002D79B8">
        <w:rPr>
          <w:rFonts w:ascii="Times New Roman" w:hAnsi="Times New Roman" w:cs="Times New Roman"/>
          <w:sz w:val="24"/>
          <w:szCs w:val="24"/>
        </w:rPr>
        <w:t xml:space="preserve">40 лет Победы, 11, г. </w:t>
      </w:r>
      <w:proofErr w:type="spellStart"/>
      <w:r w:rsidRPr="002D79B8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2D79B8">
        <w:rPr>
          <w:rFonts w:ascii="Times New Roman" w:hAnsi="Times New Roman" w:cs="Times New Roman"/>
          <w:sz w:val="24"/>
          <w:szCs w:val="24"/>
        </w:rPr>
        <w:t xml:space="preserve">, Ханты-Мансийский  автономный  </w:t>
      </w:r>
      <w:proofErr w:type="spellStart"/>
      <w:r w:rsidRPr="002D79B8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2D79B8">
        <w:rPr>
          <w:rFonts w:ascii="Times New Roman" w:hAnsi="Times New Roman" w:cs="Times New Roman"/>
          <w:sz w:val="24"/>
          <w:szCs w:val="24"/>
        </w:rPr>
        <w:t>, Тюменская область.</w:t>
      </w:r>
    </w:p>
    <w:p w:rsidR="008E359E" w:rsidRPr="008E359E" w:rsidRDefault="008E359E" w:rsidP="002D79B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2D79B8">
        <w:rPr>
          <w:rFonts w:ascii="Times New Roman" w:hAnsi="Times New Roman" w:cs="Times New Roman"/>
          <w:sz w:val="24"/>
          <w:szCs w:val="24"/>
        </w:rPr>
        <w:t>4. На основании протокола проведения аукциона</w:t>
      </w:r>
      <w:r w:rsidRPr="008E359E">
        <w:rPr>
          <w:rFonts w:ascii="Times New Roman" w:hAnsi="Times New Roman" w:cs="Times New Roman"/>
          <w:sz w:val="24"/>
        </w:rPr>
        <w:t xml:space="preserve"> в электронной форме от </w:t>
      </w:r>
      <w:r w:rsidR="00B02FA3">
        <w:rPr>
          <w:rFonts w:ascii="Times New Roman" w:hAnsi="Times New Roman" w:cs="Times New Roman"/>
          <w:sz w:val="24"/>
        </w:rPr>
        <w:t>1</w:t>
      </w:r>
      <w:r w:rsidRPr="008E359E">
        <w:rPr>
          <w:rFonts w:ascii="Times New Roman" w:hAnsi="Times New Roman" w:cs="Times New Roman"/>
          <w:sz w:val="24"/>
        </w:rPr>
        <w:t>2.</w:t>
      </w:r>
      <w:r w:rsidR="00B02FA3">
        <w:rPr>
          <w:rFonts w:ascii="Times New Roman" w:hAnsi="Times New Roman" w:cs="Times New Roman"/>
          <w:sz w:val="24"/>
        </w:rPr>
        <w:t>01</w:t>
      </w:r>
      <w:r w:rsidRPr="008E359E">
        <w:rPr>
          <w:rFonts w:ascii="Times New Roman" w:hAnsi="Times New Roman" w:cs="Times New Roman"/>
          <w:sz w:val="24"/>
        </w:rPr>
        <w:t>.201</w:t>
      </w:r>
      <w:r w:rsidR="00B02FA3">
        <w:rPr>
          <w:rFonts w:ascii="Times New Roman" w:hAnsi="Times New Roman" w:cs="Times New Roman"/>
          <w:sz w:val="24"/>
        </w:rPr>
        <w:t>5</w:t>
      </w:r>
      <w:r w:rsidRPr="008E359E">
        <w:rPr>
          <w:rFonts w:ascii="Times New Roman" w:hAnsi="Times New Roman" w:cs="Times New Roman"/>
          <w:sz w:val="24"/>
        </w:rPr>
        <w:t xml:space="preserve"> комиссией были рассмотрены вторые части заявок следующих участников аукциона в электронной форме: </w:t>
      </w:r>
    </w:p>
    <w:tbl>
      <w:tblPr>
        <w:tblW w:w="1091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92"/>
        <w:gridCol w:w="1276"/>
        <w:gridCol w:w="6663"/>
        <w:gridCol w:w="1984"/>
      </w:tblGrid>
      <w:tr w:rsidR="008E359E" w:rsidRPr="008E359E" w:rsidTr="008E359E">
        <w:trPr>
          <w:cantSplit/>
          <w:trHeight w:val="1133"/>
          <w:tblHeader/>
        </w:trPr>
        <w:tc>
          <w:tcPr>
            <w:tcW w:w="992" w:type="dxa"/>
          </w:tcPr>
          <w:p w:rsidR="008E359E" w:rsidRPr="008E359E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59E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по ранжированию</w:t>
            </w:r>
          </w:p>
        </w:tc>
        <w:tc>
          <w:tcPr>
            <w:tcW w:w="1276" w:type="dxa"/>
          </w:tcPr>
          <w:p w:rsidR="008E359E" w:rsidRPr="008E359E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59E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663" w:type="dxa"/>
          </w:tcPr>
          <w:p w:rsidR="008E359E" w:rsidRPr="008E359E" w:rsidRDefault="008E359E" w:rsidP="008E359E">
            <w:pPr>
              <w:spacing w:after="0" w:line="240" w:lineRule="auto"/>
              <w:ind w:left="142" w:firstLine="1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E359E">
              <w:rPr>
                <w:rFonts w:ascii="Times New Roman" w:hAnsi="Times New Roman" w:cs="Times New Roman"/>
                <w:sz w:val="18"/>
                <w:szCs w:val="18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984" w:type="dxa"/>
          </w:tcPr>
          <w:p w:rsidR="008E359E" w:rsidRPr="008E359E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59E">
              <w:rPr>
                <w:rFonts w:ascii="Times New Roman" w:hAnsi="Times New Roman" w:cs="Times New Roman"/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8E359E" w:rsidRPr="008E359E" w:rsidTr="008E359E">
        <w:trPr>
          <w:cantSplit/>
          <w:trHeight w:val="284"/>
        </w:trPr>
        <w:tc>
          <w:tcPr>
            <w:tcW w:w="992" w:type="dxa"/>
          </w:tcPr>
          <w:p w:rsidR="008E359E" w:rsidRPr="00B02FA3" w:rsidRDefault="008E359E" w:rsidP="008E359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2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C02B7" w:rsidRDefault="008C02B7" w:rsidP="008E359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2B7">
              <w:rPr>
                <w:rFonts w:ascii="Times New Roman" w:eastAsia="Times New Roman" w:hAnsi="Times New Roman" w:cs="Times New Roman"/>
                <w:sz w:val="20"/>
                <w:szCs w:val="20"/>
              </w:rPr>
              <w:t>1 , защищенный номер заявки:</w:t>
            </w:r>
          </w:p>
          <w:p w:rsidR="008E359E" w:rsidRPr="008C02B7" w:rsidRDefault="008C02B7" w:rsidP="008E359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2B7">
              <w:rPr>
                <w:rFonts w:ascii="Times New Roman" w:eastAsia="Times New Roman" w:hAnsi="Times New Roman" w:cs="Times New Roman"/>
                <w:sz w:val="20"/>
                <w:szCs w:val="20"/>
              </w:rPr>
              <w:t>7256686 </w:t>
            </w:r>
          </w:p>
        </w:tc>
        <w:tc>
          <w:tcPr>
            <w:tcW w:w="6663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4"/>
              <w:gridCol w:w="4987"/>
            </w:tblGrid>
            <w:tr w:rsidR="008C02B7" w:rsidRPr="00B02FA3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Общество с ограниченной ответственностью «Институт коммуникативных технологий»</w:t>
                  </w:r>
                </w:p>
              </w:tc>
            </w:tr>
            <w:tr w:rsidR="008C02B7" w:rsidRPr="00B02FA3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98010.00</w:t>
                  </w:r>
                </w:p>
              </w:tc>
            </w:tr>
            <w:tr w:rsidR="008C02B7" w:rsidRPr="00B02FA3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8603148298</w:t>
                  </w:r>
                </w:p>
              </w:tc>
            </w:tr>
            <w:tr w:rsidR="008C02B7" w:rsidRPr="00B02FA3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860301001</w:t>
                  </w:r>
                </w:p>
              </w:tc>
            </w:tr>
            <w:tr w:rsidR="008C02B7" w:rsidRPr="00B02FA3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628605, Ханты-Мансийски</w:t>
                  </w:r>
                  <w:r w:rsidR="005E22F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й Автономный округ - </w:t>
                  </w:r>
                  <w:proofErr w:type="spellStart"/>
                  <w:r w:rsidR="005E22F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Югра</w:t>
                  </w:r>
                  <w:proofErr w:type="spellEnd"/>
                  <w:r w:rsidR="005E22F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АО, г</w:t>
                  </w:r>
                  <w:proofErr w:type="gramStart"/>
                  <w:r w:rsidR="005E22F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.Н</w:t>
                  </w:r>
                  <w:proofErr w:type="gramEnd"/>
                  <w:r w:rsidR="005E22F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ижневартовск, </w:t>
                  </w: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ул.Мира, д.14П - 18</w:t>
                  </w:r>
                </w:p>
              </w:tc>
            </w:tr>
            <w:tr w:rsidR="008C02B7" w:rsidRPr="00B02FA3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628605, Ханты-Мансийский Автономный округ - </w:t>
                  </w:r>
                  <w:proofErr w:type="spellStart"/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Югра</w:t>
                  </w:r>
                  <w:proofErr w:type="spellEnd"/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АО, </w:t>
                  </w:r>
                  <w:r w:rsidR="005E22F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г. Нижневартовск, </w:t>
                  </w: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ул.60 лет Октября, д.44 - 53</w:t>
                  </w:r>
                </w:p>
              </w:tc>
            </w:tr>
            <w:tr w:rsidR="008C02B7" w:rsidRPr="00B02FA3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+79224210421</w:t>
                  </w:r>
                </w:p>
              </w:tc>
            </w:tr>
          </w:tbl>
          <w:p w:rsidR="008E359E" w:rsidRPr="00B02FA3" w:rsidRDefault="008E359E" w:rsidP="008E359E">
            <w:pPr>
              <w:spacing w:after="0" w:line="240" w:lineRule="auto"/>
              <w:ind w:left="142"/>
              <w:jc w:val="both"/>
              <w:rPr>
                <w:rStyle w:val="textspanview"/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8E359E" w:rsidRPr="00B02FA3" w:rsidRDefault="008C02B7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2B7">
              <w:rPr>
                <w:rFonts w:ascii="Times New Roman" w:eastAsia="Times New Roman" w:hAnsi="Times New Roman" w:cs="Times New Roman"/>
                <w:sz w:val="20"/>
                <w:szCs w:val="20"/>
              </w:rPr>
              <w:t>98010.00</w:t>
            </w:r>
          </w:p>
        </w:tc>
      </w:tr>
      <w:tr w:rsidR="008E359E" w:rsidRPr="000A7F11" w:rsidTr="008E359E">
        <w:trPr>
          <w:cantSplit/>
          <w:trHeight w:val="284"/>
        </w:trPr>
        <w:tc>
          <w:tcPr>
            <w:tcW w:w="992" w:type="dxa"/>
          </w:tcPr>
          <w:p w:rsidR="008E359E" w:rsidRPr="008C02B7" w:rsidRDefault="008E359E" w:rsidP="008E359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C0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</w:tcPr>
          <w:p w:rsidR="008C02B7" w:rsidRPr="008C02B7" w:rsidRDefault="008C02B7" w:rsidP="008C02B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2B7">
              <w:rPr>
                <w:rFonts w:ascii="Times New Roman" w:eastAsia="Times New Roman" w:hAnsi="Times New Roman" w:cs="Times New Roman"/>
                <w:sz w:val="20"/>
                <w:szCs w:val="20"/>
              </w:rPr>
              <w:t>2 , защищенный номер заявки:</w:t>
            </w:r>
          </w:p>
          <w:p w:rsidR="008E359E" w:rsidRPr="008C02B7" w:rsidRDefault="008C02B7" w:rsidP="008C02B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C02B7">
              <w:rPr>
                <w:rFonts w:ascii="Times New Roman" w:eastAsia="Times New Roman" w:hAnsi="Times New Roman" w:cs="Times New Roman"/>
                <w:sz w:val="20"/>
                <w:szCs w:val="20"/>
              </w:rPr>
              <w:t>6507192 </w:t>
            </w:r>
          </w:p>
        </w:tc>
        <w:tc>
          <w:tcPr>
            <w:tcW w:w="6663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07"/>
              <w:gridCol w:w="4624"/>
            </w:tblGrid>
            <w:tr w:rsidR="008C02B7" w:rsidRPr="008C02B7" w:rsidTr="008E359E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Общество с ограниченной ответственностью "</w:t>
                  </w:r>
                  <w:proofErr w:type="spellStart"/>
                  <w:r w:rsidRPr="008C02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АиФ-Югра</w:t>
                  </w:r>
                  <w:proofErr w:type="spellEnd"/>
                  <w:r w:rsidRPr="008C02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"</w:t>
                  </w:r>
                </w:p>
              </w:tc>
            </w:tr>
            <w:tr w:rsidR="008C02B7" w:rsidRPr="008C02B7" w:rsidTr="008E359E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98505.00</w:t>
                  </w:r>
                </w:p>
              </w:tc>
            </w:tr>
            <w:tr w:rsidR="008C02B7" w:rsidRPr="008C02B7" w:rsidTr="008E359E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8601033380</w:t>
                  </w:r>
                </w:p>
              </w:tc>
            </w:tr>
            <w:tr w:rsidR="008C02B7" w:rsidRPr="008C02B7" w:rsidTr="008E359E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860101001</w:t>
                  </w:r>
                </w:p>
              </w:tc>
            </w:tr>
            <w:tr w:rsidR="008C02B7" w:rsidRPr="008C02B7" w:rsidTr="008E359E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628012, Тюменская </w:t>
                  </w:r>
                  <w:proofErr w:type="spellStart"/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</w:t>
                  </w:r>
                  <w:proofErr w:type="spellEnd"/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</w:t>
                  </w:r>
                  <w:proofErr w:type="gramStart"/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.Д</w:t>
                  </w:r>
                  <w:proofErr w:type="gramEnd"/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унина-Горкавича</w:t>
                  </w:r>
                  <w:proofErr w:type="spellEnd"/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д.10</w:t>
                  </w:r>
                </w:p>
              </w:tc>
            </w:tr>
            <w:tr w:rsidR="008C02B7" w:rsidRPr="008C02B7" w:rsidTr="008E359E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628001, Тюменская </w:t>
                  </w:r>
                  <w:proofErr w:type="spellStart"/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</w:t>
                  </w:r>
                  <w:proofErr w:type="spellEnd"/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ул</w:t>
                  </w:r>
                  <w:proofErr w:type="gramStart"/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.З</w:t>
                  </w:r>
                  <w:proofErr w:type="gramEnd"/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аводская, д.11а - 405,407</w:t>
                  </w:r>
                </w:p>
              </w:tc>
            </w:tr>
            <w:tr w:rsidR="008C02B7" w:rsidRPr="008C02B7" w:rsidTr="008E359E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C02B7" w:rsidRPr="008C02B7" w:rsidRDefault="008C02B7" w:rsidP="008C0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2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8(3467)33-81-58</w:t>
                  </w:r>
                </w:p>
              </w:tc>
            </w:tr>
          </w:tbl>
          <w:p w:rsidR="008E359E" w:rsidRPr="008C02B7" w:rsidRDefault="008E359E" w:rsidP="008C02B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8E359E" w:rsidRPr="008C02B7" w:rsidRDefault="008C02B7" w:rsidP="008C02B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2B7">
              <w:rPr>
                <w:rFonts w:ascii="Times New Roman" w:eastAsia="Times New Roman" w:hAnsi="Times New Roman" w:cs="Times New Roman"/>
                <w:sz w:val="20"/>
                <w:szCs w:val="20"/>
              </w:rPr>
              <w:t>98505.00</w:t>
            </w:r>
          </w:p>
        </w:tc>
      </w:tr>
    </w:tbl>
    <w:p w:rsidR="008E359E" w:rsidRPr="000A7F11" w:rsidRDefault="008E359E" w:rsidP="008E359E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p w:rsidR="008E359E" w:rsidRPr="000A7F11" w:rsidRDefault="008E359E" w:rsidP="00B65694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A7F11">
        <w:rPr>
          <w:rFonts w:ascii="Times New Roman" w:hAnsi="Times New Roman" w:cs="Times New Roman"/>
          <w:sz w:val="24"/>
          <w:szCs w:val="24"/>
        </w:rPr>
        <w:t>5. В результате рассмотрения вторых частей заявок принято решение:</w:t>
      </w:r>
    </w:p>
    <w:p w:rsidR="008E359E" w:rsidRPr="00B65694" w:rsidRDefault="008E359E" w:rsidP="00B65694">
      <w:pPr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A7F11">
        <w:rPr>
          <w:rFonts w:ascii="Times New Roman" w:hAnsi="Times New Roman" w:cs="Times New Roman"/>
          <w:sz w:val="24"/>
          <w:szCs w:val="24"/>
        </w:rPr>
        <w:t xml:space="preserve">5.1. о соответствии следующих заявок на участие в аукционе требованиям, установленным </w:t>
      </w:r>
      <w:r w:rsidRPr="00B65694">
        <w:rPr>
          <w:rFonts w:ascii="Times New Roman" w:hAnsi="Times New Roman" w:cs="Times New Roman"/>
          <w:sz w:val="24"/>
          <w:szCs w:val="24"/>
        </w:rPr>
        <w:t>документацией об аукционе в электронной форме:</w:t>
      </w:r>
    </w:p>
    <w:p w:rsidR="008E359E" w:rsidRPr="00B65694" w:rsidRDefault="008E359E" w:rsidP="00B65694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5694">
        <w:rPr>
          <w:rFonts w:ascii="Times New Roman" w:hAnsi="Times New Roman" w:cs="Times New Roman"/>
          <w:sz w:val="24"/>
          <w:szCs w:val="24"/>
        </w:rPr>
        <w:t xml:space="preserve">- </w:t>
      </w:r>
      <w:r w:rsidR="00B65694" w:rsidRPr="00B65694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«Институт коммуникативных технологий»;</w:t>
      </w:r>
    </w:p>
    <w:p w:rsidR="008E359E" w:rsidRPr="00B65694" w:rsidRDefault="008E359E" w:rsidP="00B65694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569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65694" w:rsidRPr="00B65694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"</w:t>
      </w:r>
      <w:proofErr w:type="spellStart"/>
      <w:r w:rsidR="00B65694" w:rsidRPr="00B65694">
        <w:rPr>
          <w:rFonts w:ascii="Times New Roman" w:eastAsia="Times New Roman" w:hAnsi="Times New Roman" w:cs="Times New Roman"/>
          <w:bCs/>
          <w:sz w:val="24"/>
          <w:szCs w:val="24"/>
        </w:rPr>
        <w:t>АиФ-Югра</w:t>
      </w:r>
      <w:proofErr w:type="spellEnd"/>
      <w:r w:rsidR="00B65694" w:rsidRPr="00B65694">
        <w:rPr>
          <w:rFonts w:ascii="Times New Roman" w:eastAsia="Times New Roman" w:hAnsi="Times New Roman" w:cs="Times New Roman"/>
          <w:bCs/>
          <w:sz w:val="24"/>
          <w:szCs w:val="24"/>
        </w:rPr>
        <w:t>".</w:t>
      </w:r>
    </w:p>
    <w:p w:rsidR="008E359E" w:rsidRPr="000A7F11" w:rsidRDefault="008E359E" w:rsidP="000A7F11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A7F11">
        <w:rPr>
          <w:rFonts w:ascii="Times New Roman" w:hAnsi="Times New Roman" w:cs="Times New Roman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</w:t>
      </w:r>
      <w:r w:rsidRPr="00B65694">
        <w:rPr>
          <w:rFonts w:ascii="Times New Roman" w:hAnsi="Times New Roman" w:cs="Times New Roman"/>
          <w:sz w:val="24"/>
          <w:szCs w:val="24"/>
        </w:rPr>
        <w:t xml:space="preserve">от </w:t>
      </w:r>
      <w:r w:rsidR="00B02FA3" w:rsidRPr="00B65694">
        <w:rPr>
          <w:rFonts w:ascii="Times New Roman" w:hAnsi="Times New Roman" w:cs="Times New Roman"/>
          <w:sz w:val="24"/>
          <w:szCs w:val="24"/>
        </w:rPr>
        <w:t xml:space="preserve">12.01.2015 </w:t>
      </w:r>
      <w:r w:rsidRPr="00B65694">
        <w:rPr>
          <w:rFonts w:ascii="Times New Roman" w:hAnsi="Times New Roman" w:cs="Times New Roman"/>
          <w:sz w:val="24"/>
          <w:szCs w:val="24"/>
        </w:rPr>
        <w:t xml:space="preserve">победителем  аукциона в электронной форме признается </w:t>
      </w:r>
      <w:r w:rsidR="00B65694" w:rsidRPr="00B65694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Общество с ограниченной ответственностью «Институт коммуникативных технологий», </w:t>
      </w:r>
      <w:r w:rsidRPr="00B65694">
        <w:rPr>
          <w:rFonts w:ascii="Times New Roman" w:hAnsi="Times New Roman" w:cs="Times New Roman"/>
          <w:sz w:val="24"/>
          <w:szCs w:val="24"/>
        </w:rPr>
        <w:t xml:space="preserve">с ценой муниципального контракта </w:t>
      </w:r>
      <w:r w:rsidR="00B65694" w:rsidRPr="00B65694">
        <w:rPr>
          <w:rFonts w:ascii="Times New Roman" w:eastAsia="Times New Roman" w:hAnsi="Times New Roman" w:cs="Times New Roman"/>
          <w:sz w:val="24"/>
          <w:szCs w:val="24"/>
        </w:rPr>
        <w:t xml:space="preserve">98010.00 </w:t>
      </w:r>
      <w:r w:rsidRPr="00B65694">
        <w:rPr>
          <w:rFonts w:ascii="Times New Roman" w:hAnsi="Times New Roman" w:cs="Times New Roman"/>
          <w:sz w:val="24"/>
          <w:szCs w:val="24"/>
        </w:rPr>
        <w:t>рублей.</w:t>
      </w:r>
      <w:r w:rsidRPr="000A7F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59E" w:rsidRPr="000A7F11" w:rsidRDefault="00B65694" w:rsidP="00B65694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65694">
        <w:rPr>
          <w:rFonts w:ascii="Times New Roman" w:hAnsi="Times New Roman" w:cs="Times New Roman"/>
          <w:sz w:val="24"/>
        </w:rPr>
        <w:t xml:space="preserve">7. </w:t>
      </w:r>
      <w:r w:rsidR="008E359E" w:rsidRPr="00B65694">
        <w:rPr>
          <w:rFonts w:ascii="Times New Roman" w:hAnsi="Times New Roman" w:cs="Times New Roman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8E359E" w:rsidRPr="00B65694">
          <w:rPr>
            <w:rFonts w:ascii="Times New Roman" w:hAnsi="Times New Roman" w:cs="Times New Roman"/>
            <w:sz w:val="24"/>
            <w:szCs w:val="24"/>
          </w:rPr>
          <w:t>http://www.sberbank-ast.ru</w:t>
        </w:r>
      </w:hyperlink>
      <w:r w:rsidR="008E359E" w:rsidRPr="00B65694">
        <w:rPr>
          <w:rFonts w:ascii="Times New Roman" w:hAnsi="Times New Roman" w:cs="Times New Roman"/>
          <w:sz w:val="24"/>
          <w:szCs w:val="24"/>
        </w:rPr>
        <w:t>.</w:t>
      </w:r>
    </w:p>
    <w:p w:rsidR="008E359E" w:rsidRP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color w:val="FF0000"/>
        </w:rPr>
      </w:pPr>
    </w:p>
    <w:p w:rsidR="008E359E" w:rsidRPr="000A7F11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0A7F11">
        <w:rPr>
          <w:rFonts w:ascii="Times New Roman" w:hAnsi="Times New Roman" w:cs="Times New Roman"/>
        </w:rPr>
        <w:t xml:space="preserve">Сведения о решении </w:t>
      </w:r>
    </w:p>
    <w:p w:rsidR="008E359E" w:rsidRPr="000A7F11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0A7F11">
        <w:rPr>
          <w:rFonts w:ascii="Times New Roman" w:hAnsi="Times New Roman" w:cs="Times New Roman"/>
        </w:rPr>
        <w:t xml:space="preserve">членов комиссии о соответствии/несоответствии заявок участников закупки </w:t>
      </w:r>
    </w:p>
    <w:p w:rsid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0A7F11">
        <w:rPr>
          <w:rFonts w:ascii="Times New Roman" w:hAnsi="Times New Roman" w:cs="Times New Roman"/>
        </w:rPr>
        <w:t>требованиям документации об аукционе</w:t>
      </w:r>
    </w:p>
    <w:p w:rsidR="000A7F11" w:rsidRPr="000A7F11" w:rsidRDefault="000A7F11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tbl>
      <w:tblPr>
        <w:tblW w:w="11057" w:type="dxa"/>
        <w:tblInd w:w="-176" w:type="dxa"/>
        <w:tblLayout w:type="fixed"/>
        <w:tblLook w:val="01E0"/>
      </w:tblPr>
      <w:tblGrid>
        <w:gridCol w:w="5388"/>
        <w:gridCol w:w="2477"/>
        <w:gridCol w:w="3192"/>
      </w:tblGrid>
      <w:tr w:rsidR="008E359E" w:rsidRPr="008E359E" w:rsidTr="000A7F1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0A7F11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F11">
              <w:rPr>
                <w:rFonts w:ascii="Times New Roman" w:hAnsi="Times New Roman" w:cs="Times New Roman"/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0A7F11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F11">
              <w:rPr>
                <w:rFonts w:ascii="Times New Roman" w:hAnsi="Times New Roman" w:cs="Times New Roman"/>
                <w:sz w:val="18"/>
                <w:szCs w:val="18"/>
              </w:rPr>
              <w:t>Подпись члена комиссии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0A7F11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F11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8E359E" w:rsidRPr="006E115F" w:rsidTr="000A7F1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6E115F">
              <w:rPr>
                <w:rFonts w:ascii="Times New Roman" w:hAnsi="Times New Roman" w:cs="Times New Roman"/>
              </w:rPr>
              <w:t xml:space="preserve">В.К. </w:t>
            </w:r>
            <w:proofErr w:type="spellStart"/>
            <w:r w:rsidRPr="006E115F">
              <w:rPr>
                <w:rFonts w:ascii="Times New Roman" w:hAnsi="Times New Roman" w:cs="Times New Roman"/>
              </w:rPr>
              <w:t>Бандурин</w:t>
            </w:r>
            <w:proofErr w:type="spellEnd"/>
          </w:p>
        </w:tc>
      </w:tr>
      <w:tr w:rsidR="008E359E" w:rsidRPr="006E115F" w:rsidTr="000A7F1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6E115F">
              <w:rPr>
                <w:rFonts w:ascii="Times New Roman" w:hAnsi="Times New Roman" w:cs="Times New Roman"/>
              </w:rPr>
              <w:t>Н.А. Морозова</w:t>
            </w:r>
          </w:p>
        </w:tc>
      </w:tr>
      <w:tr w:rsidR="00B02FA3" w:rsidRPr="006E115F" w:rsidTr="000A7F1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3" w:rsidRPr="006E115F" w:rsidRDefault="00B02FA3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3" w:rsidRPr="006E115F" w:rsidRDefault="00B02FA3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3" w:rsidRPr="006E115F" w:rsidRDefault="00B02FA3" w:rsidP="008E359E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</w:rPr>
              <w:t>Климин</w:t>
            </w:r>
            <w:proofErr w:type="spellEnd"/>
          </w:p>
        </w:tc>
      </w:tr>
      <w:tr w:rsidR="008E359E" w:rsidRPr="006E115F" w:rsidTr="000A7F1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6E115F">
              <w:rPr>
                <w:rFonts w:ascii="Times New Roman" w:eastAsia="Calibri" w:hAnsi="Times New Roman" w:cs="Times New Roman"/>
              </w:rPr>
              <w:t>Т.И. Долгодворова</w:t>
            </w:r>
          </w:p>
        </w:tc>
      </w:tr>
      <w:tr w:rsidR="008E359E" w:rsidRPr="006E115F" w:rsidTr="000A7F1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6E115F">
              <w:rPr>
                <w:rFonts w:ascii="Times New Roman" w:eastAsia="Calibri" w:hAnsi="Times New Roman" w:cs="Times New Roman"/>
              </w:rPr>
              <w:t>Г.А. Ярков</w:t>
            </w:r>
          </w:p>
        </w:tc>
      </w:tr>
      <w:tr w:rsidR="008E359E" w:rsidRPr="006E115F" w:rsidTr="000A7F1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E115F">
              <w:rPr>
                <w:rFonts w:ascii="Times New Roman" w:hAnsi="Times New Roman" w:cs="Times New Roman"/>
              </w:rPr>
              <w:t>А.Т.Абдуллаев</w:t>
            </w:r>
          </w:p>
        </w:tc>
      </w:tr>
      <w:tr w:rsidR="008E359E" w:rsidRPr="006E115F" w:rsidTr="000A7F1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E115F">
              <w:rPr>
                <w:rFonts w:ascii="Times New Roman" w:hAnsi="Times New Roman" w:cs="Times New Roman"/>
              </w:rPr>
              <w:t>Н.Б. Захарова</w:t>
            </w:r>
          </w:p>
        </w:tc>
      </w:tr>
    </w:tbl>
    <w:p w:rsidR="008E359E" w:rsidRPr="006E115F" w:rsidRDefault="008E359E" w:rsidP="008E359E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FF0000"/>
        </w:rPr>
      </w:pPr>
    </w:p>
    <w:p w:rsidR="008E359E" w:rsidRPr="006E115F" w:rsidRDefault="00B02FA3" w:rsidP="008E359E">
      <w:pPr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Заместитель председателя </w:t>
      </w:r>
      <w:r w:rsidR="008E359E" w:rsidRPr="006E115F">
        <w:rPr>
          <w:rFonts w:ascii="Times New Roman" w:hAnsi="Times New Roman" w:cs="Times New Roman"/>
          <w:b/>
        </w:rPr>
        <w:t xml:space="preserve"> комиссии                                                                       </w:t>
      </w:r>
      <w:r w:rsidRPr="006E115F">
        <w:rPr>
          <w:rFonts w:ascii="Times New Roman" w:hAnsi="Times New Roman" w:cs="Times New Roman"/>
          <w:sz w:val="24"/>
          <w:szCs w:val="24"/>
        </w:rPr>
        <w:t>В.К.Бандурин</w:t>
      </w:r>
      <w:r w:rsidRPr="006E11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8E359E" w:rsidRPr="006E115F" w:rsidRDefault="008E359E" w:rsidP="008E359E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8E359E" w:rsidRDefault="008E359E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sz w:val="24"/>
          <w:szCs w:val="24"/>
        </w:rPr>
        <w:t>__________________Н.А. Морозова</w:t>
      </w:r>
    </w:p>
    <w:p w:rsidR="00B02FA3" w:rsidRPr="006E115F" w:rsidRDefault="00B02FA3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8E359E" w:rsidRPr="006E115F" w:rsidRDefault="008E359E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sz w:val="24"/>
          <w:szCs w:val="24"/>
        </w:rPr>
        <w:t>__________________Т.И. Долгодворова</w:t>
      </w:r>
    </w:p>
    <w:p w:rsidR="008E359E" w:rsidRPr="006E115F" w:rsidRDefault="008E359E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sz w:val="24"/>
          <w:szCs w:val="24"/>
        </w:rPr>
        <w:t>___________________Г.А. Ярков</w:t>
      </w:r>
    </w:p>
    <w:p w:rsidR="008E359E" w:rsidRPr="006E115F" w:rsidRDefault="008E359E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sz w:val="24"/>
          <w:szCs w:val="24"/>
        </w:rPr>
        <w:tab/>
      </w:r>
      <w:r w:rsidRPr="006E115F">
        <w:rPr>
          <w:rFonts w:ascii="Times New Roman" w:hAnsi="Times New Roman" w:cs="Times New Roman"/>
          <w:sz w:val="24"/>
          <w:szCs w:val="24"/>
        </w:rPr>
        <w:tab/>
      </w:r>
      <w:r w:rsidRPr="006E115F">
        <w:rPr>
          <w:rFonts w:ascii="Times New Roman" w:hAnsi="Times New Roman" w:cs="Times New Roman"/>
          <w:sz w:val="24"/>
          <w:szCs w:val="24"/>
        </w:rPr>
        <w:tab/>
      </w:r>
      <w:r w:rsidRPr="006E115F">
        <w:rPr>
          <w:rFonts w:ascii="Times New Roman" w:hAnsi="Times New Roman" w:cs="Times New Roman"/>
          <w:sz w:val="24"/>
          <w:szCs w:val="24"/>
        </w:rPr>
        <w:tab/>
      </w:r>
      <w:r w:rsidRPr="006E115F">
        <w:rPr>
          <w:rFonts w:ascii="Times New Roman" w:hAnsi="Times New Roman" w:cs="Times New Roman"/>
          <w:sz w:val="24"/>
          <w:szCs w:val="24"/>
        </w:rPr>
        <w:tab/>
        <w:t>___________________ А.Т.Абдуллаев</w:t>
      </w:r>
    </w:p>
    <w:p w:rsidR="008E359E" w:rsidRPr="00B65694" w:rsidRDefault="008E359E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sz w:val="24"/>
          <w:szCs w:val="24"/>
        </w:rPr>
        <w:t xml:space="preserve">_______________________Н.Б. </w:t>
      </w:r>
      <w:r w:rsidRPr="00B65694">
        <w:rPr>
          <w:rFonts w:ascii="Times New Roman" w:hAnsi="Times New Roman" w:cs="Times New Roman"/>
          <w:sz w:val="24"/>
          <w:szCs w:val="24"/>
        </w:rPr>
        <w:t>Захарова</w:t>
      </w:r>
    </w:p>
    <w:p w:rsidR="008E359E" w:rsidRPr="00B65694" w:rsidRDefault="00B65694" w:rsidP="00B65694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65694">
        <w:rPr>
          <w:rFonts w:ascii="Times New Roman" w:hAnsi="Times New Roman" w:cs="Times New Roman"/>
          <w:sz w:val="24"/>
          <w:szCs w:val="24"/>
        </w:rPr>
        <w:t xml:space="preserve">Представитель заказчика: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A7F11" w:rsidRPr="00B65694">
        <w:rPr>
          <w:rFonts w:ascii="Times New Roman" w:hAnsi="Times New Roman" w:cs="Times New Roman"/>
          <w:sz w:val="24"/>
          <w:szCs w:val="24"/>
        </w:rPr>
        <w:t>______________________</w:t>
      </w:r>
      <w:r w:rsidR="003132B3"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 w:rsidR="003132B3">
        <w:rPr>
          <w:rFonts w:ascii="Times New Roman" w:hAnsi="Times New Roman" w:cs="Times New Roman"/>
          <w:sz w:val="24"/>
          <w:szCs w:val="24"/>
        </w:rPr>
        <w:t>Дергилев</w:t>
      </w:r>
      <w:proofErr w:type="spellEnd"/>
    </w:p>
    <w:p w:rsidR="008E359E" w:rsidRDefault="008E359E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  <w:sectPr w:rsidR="008E359E" w:rsidSect="005F6071">
          <w:pgSz w:w="11906" w:h="16838"/>
          <w:pgMar w:top="426" w:right="566" w:bottom="568" w:left="851" w:header="709" w:footer="709" w:gutter="0"/>
          <w:cols w:space="708"/>
          <w:docGrid w:linePitch="360"/>
        </w:sectPr>
      </w:pPr>
      <w:r w:rsidRPr="000A7F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2B3" w:rsidRPr="003132B3" w:rsidRDefault="003132B3" w:rsidP="003132B3">
      <w:pPr>
        <w:spacing w:after="0" w:line="240" w:lineRule="auto"/>
        <w:ind w:right="342" w:hanging="426"/>
        <w:jc w:val="right"/>
        <w:rPr>
          <w:rFonts w:ascii="Times New Roman" w:hAnsi="Times New Roman" w:cs="Times New Roman"/>
          <w:sz w:val="20"/>
          <w:szCs w:val="20"/>
        </w:rPr>
      </w:pPr>
      <w:r w:rsidRPr="003132B3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3132B3" w:rsidRPr="003132B3" w:rsidRDefault="003132B3" w:rsidP="003132B3">
      <w:pPr>
        <w:tabs>
          <w:tab w:val="left" w:pos="3930"/>
          <w:tab w:val="right" w:pos="9355"/>
        </w:tabs>
        <w:spacing w:after="0" w:line="240" w:lineRule="auto"/>
        <w:ind w:right="342"/>
        <w:jc w:val="right"/>
        <w:rPr>
          <w:rFonts w:ascii="Times New Roman" w:hAnsi="Times New Roman" w:cs="Times New Roman"/>
          <w:sz w:val="20"/>
          <w:szCs w:val="20"/>
        </w:rPr>
      </w:pPr>
      <w:r w:rsidRPr="003132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3132B3" w:rsidRPr="003132B3" w:rsidRDefault="003132B3" w:rsidP="003132B3">
      <w:pPr>
        <w:tabs>
          <w:tab w:val="left" w:pos="3930"/>
          <w:tab w:val="right" w:pos="9355"/>
        </w:tabs>
        <w:spacing w:after="0" w:line="240" w:lineRule="auto"/>
        <w:ind w:right="342"/>
        <w:jc w:val="right"/>
        <w:rPr>
          <w:rFonts w:ascii="Times New Roman" w:hAnsi="Times New Roman" w:cs="Times New Roman"/>
          <w:sz w:val="20"/>
          <w:szCs w:val="20"/>
        </w:rPr>
      </w:pPr>
      <w:r w:rsidRPr="003132B3">
        <w:rPr>
          <w:rFonts w:ascii="Times New Roman" w:hAnsi="Times New Roman" w:cs="Times New Roman"/>
          <w:sz w:val="20"/>
          <w:szCs w:val="20"/>
        </w:rPr>
        <w:t>аукциона в электронной форме</w:t>
      </w:r>
    </w:p>
    <w:p w:rsidR="003132B3" w:rsidRPr="003132B3" w:rsidRDefault="003132B3" w:rsidP="003132B3">
      <w:pPr>
        <w:tabs>
          <w:tab w:val="left" w:pos="3930"/>
          <w:tab w:val="right" w:pos="9355"/>
        </w:tabs>
        <w:spacing w:after="0" w:line="240" w:lineRule="auto"/>
        <w:ind w:right="342"/>
        <w:jc w:val="right"/>
        <w:rPr>
          <w:rFonts w:ascii="Times New Roman" w:hAnsi="Times New Roman" w:cs="Times New Roman"/>
          <w:sz w:val="20"/>
          <w:szCs w:val="20"/>
        </w:rPr>
      </w:pPr>
      <w:r w:rsidRPr="003132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от «13» января 2015 г. № 0187300005814000766-3</w:t>
      </w:r>
    </w:p>
    <w:p w:rsidR="003132B3" w:rsidRPr="003132B3" w:rsidRDefault="003132B3" w:rsidP="003132B3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132B3" w:rsidRPr="003132B3" w:rsidRDefault="003132B3" w:rsidP="003132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32B3">
        <w:rPr>
          <w:rFonts w:ascii="Times New Roman" w:hAnsi="Times New Roman" w:cs="Times New Roman"/>
          <w:sz w:val="20"/>
          <w:szCs w:val="20"/>
        </w:rPr>
        <w:t>Таблица подведения итогов</w:t>
      </w:r>
    </w:p>
    <w:p w:rsidR="003132B3" w:rsidRPr="003132B3" w:rsidRDefault="003132B3" w:rsidP="003132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32B3">
        <w:rPr>
          <w:rFonts w:ascii="Times New Roman" w:hAnsi="Times New Roman" w:cs="Times New Roman"/>
          <w:sz w:val="20"/>
          <w:szCs w:val="20"/>
        </w:rPr>
        <w:t xml:space="preserve">аукциона в электронной форме на право заключения муниципального контракта на оказание услуг по размещению информационных сообщений </w:t>
      </w:r>
    </w:p>
    <w:p w:rsidR="003132B3" w:rsidRPr="003132B3" w:rsidRDefault="003132B3" w:rsidP="003132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32B3">
        <w:rPr>
          <w:rFonts w:ascii="Times New Roman" w:hAnsi="Times New Roman" w:cs="Times New Roman"/>
          <w:sz w:val="20"/>
          <w:szCs w:val="20"/>
        </w:rPr>
        <w:t>в электронном средстве массовой информации</w:t>
      </w:r>
    </w:p>
    <w:p w:rsidR="003132B3" w:rsidRPr="003132B3" w:rsidRDefault="003132B3" w:rsidP="003132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132B3" w:rsidRPr="003132B3" w:rsidRDefault="003132B3" w:rsidP="003132B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132B3">
        <w:rPr>
          <w:rFonts w:ascii="Times New Roman" w:hAnsi="Times New Roman" w:cs="Times New Roman"/>
          <w:sz w:val="20"/>
          <w:szCs w:val="20"/>
        </w:rPr>
        <w:t>Заказчик: Администрация города Югорска</w:t>
      </w:r>
    </w:p>
    <w:tbl>
      <w:tblPr>
        <w:tblW w:w="15876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9648"/>
        <w:gridCol w:w="1810"/>
        <w:gridCol w:w="2206"/>
        <w:gridCol w:w="2212"/>
      </w:tblGrid>
      <w:tr w:rsidR="003132B3" w:rsidRPr="003132B3" w:rsidTr="00D66D31">
        <w:trPr>
          <w:trHeight w:val="330"/>
        </w:trPr>
        <w:tc>
          <w:tcPr>
            <w:tcW w:w="11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B3" w:rsidRPr="003132B3" w:rsidRDefault="003132B3" w:rsidP="003132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Порядковый номер </w:t>
            </w:r>
            <w:proofErr w:type="gramStart"/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заявки</w:t>
            </w:r>
            <w:proofErr w:type="gramEnd"/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защищенный номер заявки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B3" w:rsidRPr="003132B3" w:rsidRDefault="003132B3" w:rsidP="0031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sz w:val="20"/>
                <w:szCs w:val="20"/>
              </w:rPr>
              <w:t>1 /7256686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B3" w:rsidRPr="003132B3" w:rsidRDefault="003132B3" w:rsidP="0031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sz w:val="20"/>
                <w:szCs w:val="20"/>
              </w:rPr>
              <w:t>2 /6507192</w:t>
            </w:r>
          </w:p>
        </w:tc>
      </w:tr>
      <w:tr w:rsidR="003132B3" w:rsidRPr="003132B3" w:rsidTr="00D66D31">
        <w:tc>
          <w:tcPr>
            <w:tcW w:w="9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B3" w:rsidRPr="003132B3" w:rsidRDefault="003132B3" w:rsidP="003132B3">
            <w:pPr>
              <w:snapToGrid w:val="0"/>
              <w:spacing w:after="0" w:line="240" w:lineRule="auto"/>
              <w:ind w:left="294" w:hanging="29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B3" w:rsidRPr="003132B3" w:rsidRDefault="003132B3" w:rsidP="003132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Обязательные требования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B3" w:rsidRPr="003132B3" w:rsidRDefault="003132B3" w:rsidP="003132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«Институт коммуникативных технологий», Нижневартовск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B3" w:rsidRPr="003132B3" w:rsidRDefault="003132B3" w:rsidP="003132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АиФ-Югра</w:t>
            </w:r>
            <w:proofErr w:type="spellEnd"/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</w:p>
          <w:p w:rsidR="003132B3" w:rsidRPr="003132B3" w:rsidRDefault="003132B3" w:rsidP="003132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Ханты-Мансийск</w:t>
            </w:r>
          </w:p>
        </w:tc>
      </w:tr>
      <w:tr w:rsidR="003132B3" w:rsidRPr="003132B3" w:rsidTr="00D66D31">
        <w:trPr>
          <w:trHeight w:val="708"/>
        </w:trPr>
        <w:tc>
          <w:tcPr>
            <w:tcW w:w="9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B3" w:rsidRPr="003132B3" w:rsidRDefault="003132B3" w:rsidP="003132B3">
            <w:pPr>
              <w:snapToGrid w:val="0"/>
              <w:spacing w:after="0" w:line="240" w:lineRule="auto"/>
              <w:ind w:left="108"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132B3">
              <w:rPr>
                <w:rFonts w:ascii="Times New Roman" w:hAnsi="Times New Roman" w:cs="Times New Roman"/>
                <w:sz w:val="20"/>
                <w:szCs w:val="20"/>
              </w:rPr>
              <w:t xml:space="preserve">Непроведение ликвидации участника </w:t>
            </w:r>
            <w:r w:rsidRPr="003132B3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закупки -</w:t>
            </w:r>
            <w:r w:rsidRPr="003132B3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юридического лица и отсутствие решения арбитражного суда о признании участника </w:t>
            </w:r>
            <w:r w:rsidRPr="003132B3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закупки</w:t>
            </w:r>
            <w:r w:rsidRPr="003132B3">
              <w:rPr>
                <w:rFonts w:ascii="Times New Roman" w:hAnsi="Times New Roman" w:cs="Times New Roman"/>
                <w:sz w:val="20"/>
                <w:szCs w:val="20"/>
              </w:rPr>
              <w:t xml:space="preserve"> - юридического лица, индивидуального предпринимателя </w:t>
            </w:r>
            <w:r w:rsidRPr="003132B3">
              <w:rPr>
                <w:rFonts w:ascii="Times New Roman" w:hAnsi="Times New Roman" w:cs="Times New Roman"/>
                <w:bCs/>
                <w:sz w:val="20"/>
                <w:szCs w:val="20"/>
              </w:rPr>
              <w:t>несостоятельным (</w:t>
            </w:r>
            <w:r w:rsidRPr="003132B3">
              <w:rPr>
                <w:rFonts w:ascii="Times New Roman" w:hAnsi="Times New Roman" w:cs="Times New Roman"/>
                <w:sz w:val="20"/>
                <w:szCs w:val="20"/>
              </w:rPr>
              <w:t>банкротом</w:t>
            </w:r>
            <w:r w:rsidRPr="003132B3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3132B3">
              <w:rPr>
                <w:rFonts w:ascii="Times New Roman" w:hAnsi="Times New Roman" w:cs="Times New Roman"/>
                <w:sz w:val="20"/>
                <w:szCs w:val="20"/>
              </w:rPr>
              <w:t xml:space="preserve"> и об открытии конкурсного производства.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B3" w:rsidRPr="003132B3" w:rsidRDefault="003132B3" w:rsidP="003132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B3" w:rsidRPr="003132B3" w:rsidRDefault="003132B3" w:rsidP="0031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B3" w:rsidRPr="003132B3" w:rsidRDefault="003132B3" w:rsidP="0031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</w:tr>
      <w:tr w:rsidR="003132B3" w:rsidRPr="003132B3" w:rsidTr="00D66D31">
        <w:trPr>
          <w:trHeight w:val="387"/>
        </w:trPr>
        <w:tc>
          <w:tcPr>
            <w:tcW w:w="9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B3" w:rsidRPr="003132B3" w:rsidRDefault="003132B3" w:rsidP="003132B3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sz w:val="20"/>
                <w:szCs w:val="20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B3" w:rsidRPr="003132B3" w:rsidRDefault="003132B3" w:rsidP="003132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B3" w:rsidRPr="003132B3" w:rsidRDefault="003132B3" w:rsidP="0031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B3" w:rsidRPr="003132B3" w:rsidRDefault="003132B3" w:rsidP="0031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</w:tr>
      <w:tr w:rsidR="003132B3" w:rsidRPr="003132B3" w:rsidTr="00D66D31">
        <w:tc>
          <w:tcPr>
            <w:tcW w:w="9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B3" w:rsidRPr="003132B3" w:rsidRDefault="003132B3" w:rsidP="003132B3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3132B3">
              <w:rPr>
                <w:rFonts w:ascii="Times New Roman" w:hAnsi="Times New Roman" w:cs="Times New Roman"/>
                <w:sz w:val="20"/>
                <w:szCs w:val="20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3132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132B3">
              <w:rPr>
                <w:rFonts w:ascii="Times New Roman" w:hAnsi="Times New Roman" w:cs="Times New Roman"/>
                <w:sz w:val="20"/>
                <w:szCs w:val="20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3132B3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3132B3">
              <w:rPr>
                <w:rFonts w:ascii="Times New Roman" w:hAnsi="Times New Roman" w:cs="Times New Roman"/>
                <w:sz w:val="20"/>
                <w:szCs w:val="20"/>
              </w:rPr>
              <w:t>указанных</w:t>
            </w:r>
            <w:proofErr w:type="gramEnd"/>
            <w:r w:rsidRPr="003132B3">
              <w:rPr>
                <w:rFonts w:ascii="Times New Roman" w:hAnsi="Times New Roman" w:cs="Times New Roman"/>
                <w:sz w:val="20"/>
                <w:szCs w:val="20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B3" w:rsidRPr="003132B3" w:rsidRDefault="003132B3" w:rsidP="003132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B3" w:rsidRPr="003132B3" w:rsidRDefault="003132B3" w:rsidP="0031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B3" w:rsidRPr="003132B3" w:rsidRDefault="003132B3" w:rsidP="0031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</w:tr>
      <w:tr w:rsidR="003132B3" w:rsidRPr="003132B3" w:rsidTr="00D66D31">
        <w:tc>
          <w:tcPr>
            <w:tcW w:w="9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B3" w:rsidRPr="003132B3" w:rsidRDefault="003132B3" w:rsidP="003132B3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proofErr w:type="gramStart"/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132B3">
              <w:rPr>
                <w:rFonts w:ascii="Times New Roman" w:hAnsi="Times New Roman" w:cs="Times New Roman"/>
                <w:sz w:val="20"/>
                <w:szCs w:val="20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3132B3">
              <w:rPr>
                <w:rFonts w:ascii="Times New Roman" w:hAnsi="Times New Roman" w:cs="Times New Roman"/>
                <w:sz w:val="20"/>
                <w:szCs w:val="20"/>
              </w:rPr>
              <w:t xml:space="preserve"> наказания в виде дисквалификации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B3" w:rsidRPr="003132B3" w:rsidRDefault="003132B3" w:rsidP="003132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B3" w:rsidRPr="003132B3" w:rsidRDefault="003132B3" w:rsidP="0031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B3" w:rsidRPr="003132B3" w:rsidRDefault="003132B3" w:rsidP="0031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</w:tr>
      <w:tr w:rsidR="003132B3" w:rsidRPr="003132B3" w:rsidTr="00D66D31">
        <w:trPr>
          <w:trHeight w:val="424"/>
        </w:trPr>
        <w:tc>
          <w:tcPr>
            <w:tcW w:w="9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B3" w:rsidRPr="003132B3" w:rsidRDefault="003132B3" w:rsidP="003132B3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3132B3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3132B3">
              <w:rPr>
                <w:rFonts w:ascii="Times New Roman" w:hAnsi="Times New Roman" w:cs="Times New Roman"/>
                <w:sz w:val="20"/>
                <w:szCs w:val="20"/>
              </w:rPr>
              <w:t>выгодоприобретателями</w:t>
            </w:r>
            <w:proofErr w:type="spellEnd"/>
            <w:r w:rsidRPr="003132B3">
              <w:rPr>
                <w:rFonts w:ascii="Times New Roman" w:hAnsi="Times New Roman" w:cs="Times New Roman"/>
                <w:sz w:val="20"/>
                <w:szCs w:val="20"/>
              </w:rPr>
              <w:t xml:space="preserve"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</w:t>
            </w:r>
            <w:r w:rsidRPr="003132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3132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132B3">
              <w:rPr>
                <w:rFonts w:ascii="Times New Roman" w:hAnsi="Times New Roman" w:cs="Times New Roman"/>
                <w:sz w:val="20"/>
                <w:szCs w:val="20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3132B3">
              <w:rPr>
                <w:rFonts w:ascii="Times New Roman" w:hAnsi="Times New Roman" w:cs="Times New Roman"/>
                <w:sz w:val="20"/>
                <w:szCs w:val="20"/>
              </w:rPr>
              <w:t>неполнородными</w:t>
            </w:r>
            <w:proofErr w:type="spellEnd"/>
            <w:r w:rsidRPr="003132B3">
              <w:rPr>
                <w:rFonts w:ascii="Times New Roman" w:hAnsi="Times New Roman" w:cs="Times New Roman"/>
                <w:sz w:val="20"/>
                <w:szCs w:val="20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3132B3">
              <w:rPr>
                <w:rFonts w:ascii="Times New Roman" w:hAnsi="Times New Roman" w:cs="Times New Roman"/>
                <w:sz w:val="20"/>
                <w:szCs w:val="20"/>
              </w:rPr>
              <w:t xml:space="preserve"> Под </w:t>
            </w:r>
            <w:proofErr w:type="spellStart"/>
            <w:r w:rsidRPr="003132B3">
              <w:rPr>
                <w:rFonts w:ascii="Times New Roman" w:hAnsi="Times New Roman" w:cs="Times New Roman"/>
                <w:sz w:val="20"/>
                <w:szCs w:val="20"/>
              </w:rPr>
              <w:t>выгодоприобретателями</w:t>
            </w:r>
            <w:proofErr w:type="spellEnd"/>
            <w:r w:rsidRPr="003132B3">
              <w:rPr>
                <w:rFonts w:ascii="Times New Roman" w:hAnsi="Times New Roman" w:cs="Times New Roman"/>
                <w:sz w:val="20"/>
                <w:szCs w:val="20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B3" w:rsidRPr="003132B3" w:rsidRDefault="003132B3" w:rsidP="003132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декларация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B3" w:rsidRPr="003132B3" w:rsidRDefault="003132B3" w:rsidP="0031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B3" w:rsidRPr="003132B3" w:rsidRDefault="003132B3" w:rsidP="0031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</w:tr>
      <w:tr w:rsidR="003132B3" w:rsidRPr="003132B3" w:rsidTr="00D66D31">
        <w:trPr>
          <w:trHeight w:val="424"/>
        </w:trPr>
        <w:tc>
          <w:tcPr>
            <w:tcW w:w="9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B3" w:rsidRPr="003132B3" w:rsidRDefault="003132B3" w:rsidP="003132B3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6. </w:t>
            </w:r>
            <w:r w:rsidRPr="003132B3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в реестре недобросовестных поставщиков сведений об участнике </w:t>
            </w:r>
            <w:r w:rsidRPr="003132B3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закупки – юридическом лице</w:t>
            </w:r>
            <w:r w:rsidRPr="003132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132B3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  <w:r w:rsidRPr="003132B3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об учредителях, </w:t>
            </w:r>
            <w:r w:rsidRPr="003132B3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3132B3">
              <w:rPr>
                <w:rFonts w:ascii="Times New Roman" w:hAnsi="Times New Roman" w:cs="Times New Roman"/>
                <w:sz w:val="20"/>
                <w:szCs w:val="20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3132B3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закупки – для юридического лица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B3" w:rsidRPr="003132B3" w:rsidRDefault="003132B3" w:rsidP="0031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B3" w:rsidRPr="003132B3" w:rsidRDefault="003132B3" w:rsidP="0031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B3" w:rsidRPr="003132B3" w:rsidRDefault="003132B3" w:rsidP="0031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отсутствует</w:t>
            </w:r>
          </w:p>
        </w:tc>
      </w:tr>
      <w:tr w:rsidR="003132B3" w:rsidRPr="003132B3" w:rsidTr="00D66D31">
        <w:trPr>
          <w:trHeight w:val="424"/>
        </w:trPr>
        <w:tc>
          <w:tcPr>
            <w:tcW w:w="9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B3" w:rsidRPr="003132B3" w:rsidRDefault="003132B3" w:rsidP="003132B3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Объем предоставленных документов и сведений для участия в аукционе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B3" w:rsidRPr="003132B3" w:rsidRDefault="003132B3" w:rsidP="003132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объёме, указанном  в  документации  об  аукционе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B3" w:rsidRPr="003132B3" w:rsidRDefault="003132B3" w:rsidP="0031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полном объёме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B3" w:rsidRPr="003132B3" w:rsidRDefault="003132B3" w:rsidP="003132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полном объёме</w:t>
            </w:r>
          </w:p>
        </w:tc>
      </w:tr>
      <w:tr w:rsidR="003132B3" w:rsidRPr="003132B3" w:rsidTr="00D66D31">
        <w:trPr>
          <w:trHeight w:val="307"/>
        </w:trPr>
        <w:tc>
          <w:tcPr>
            <w:tcW w:w="11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B3" w:rsidRPr="003132B3" w:rsidRDefault="003132B3" w:rsidP="003132B3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sz w:val="20"/>
                <w:szCs w:val="20"/>
              </w:rPr>
              <w:t>8. Начальная максимальная цена контракта —</w:t>
            </w:r>
            <w:r w:rsidRPr="003132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99 000 </w:t>
            </w:r>
            <w:r w:rsidRPr="003132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рублей.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B3" w:rsidRPr="003132B3" w:rsidRDefault="003132B3" w:rsidP="003132B3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B3" w:rsidRPr="003132B3" w:rsidRDefault="003132B3" w:rsidP="003132B3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32B3" w:rsidRPr="003132B3" w:rsidTr="00D66D31">
        <w:trPr>
          <w:trHeight w:val="307"/>
        </w:trPr>
        <w:tc>
          <w:tcPr>
            <w:tcW w:w="11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B3" w:rsidRPr="003132B3" w:rsidRDefault="003132B3" w:rsidP="003132B3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sz w:val="20"/>
                <w:szCs w:val="20"/>
              </w:rPr>
              <w:t>9. Предложенная цена контракта, рублей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B3" w:rsidRPr="003132B3" w:rsidRDefault="003132B3" w:rsidP="003132B3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b/>
                <w:sz w:val="20"/>
                <w:szCs w:val="20"/>
              </w:rPr>
              <w:t>98 010,00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B3" w:rsidRPr="003132B3" w:rsidRDefault="003132B3" w:rsidP="003132B3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b/>
                <w:sz w:val="20"/>
                <w:szCs w:val="20"/>
              </w:rPr>
              <w:t>98 505,00</w:t>
            </w:r>
          </w:p>
        </w:tc>
      </w:tr>
      <w:tr w:rsidR="003132B3" w:rsidRPr="003132B3" w:rsidTr="00D66D31">
        <w:trPr>
          <w:trHeight w:val="307"/>
        </w:trPr>
        <w:tc>
          <w:tcPr>
            <w:tcW w:w="11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B3" w:rsidRPr="003132B3" w:rsidRDefault="003132B3" w:rsidP="003132B3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sz w:val="20"/>
                <w:szCs w:val="20"/>
              </w:rPr>
              <w:t>10. Номер по ранжированию после завершения аукциона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B3" w:rsidRPr="003132B3" w:rsidRDefault="003132B3" w:rsidP="003132B3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B3" w:rsidRPr="003132B3" w:rsidRDefault="003132B3" w:rsidP="003132B3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2B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:rsidR="00F760D2" w:rsidRPr="003132B3" w:rsidRDefault="00F760D2" w:rsidP="003132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760D2" w:rsidRPr="003132B3" w:rsidSect="00007E88">
      <w:pgSz w:w="16837" w:h="11905" w:orient="landscape"/>
      <w:pgMar w:top="720" w:right="210" w:bottom="720" w:left="2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62341"/>
    <w:multiLevelType w:val="hybridMultilevel"/>
    <w:tmpl w:val="A1AC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1B50"/>
    <w:rsid w:val="00005C8B"/>
    <w:rsid w:val="00087FAF"/>
    <w:rsid w:val="000A7F11"/>
    <w:rsid w:val="000E18F8"/>
    <w:rsid w:val="00135902"/>
    <w:rsid w:val="00150150"/>
    <w:rsid w:val="002D79B8"/>
    <w:rsid w:val="002E7352"/>
    <w:rsid w:val="003132B3"/>
    <w:rsid w:val="00356233"/>
    <w:rsid w:val="004B1CFB"/>
    <w:rsid w:val="0052617A"/>
    <w:rsid w:val="00537105"/>
    <w:rsid w:val="005A4246"/>
    <w:rsid w:val="005E22FF"/>
    <w:rsid w:val="005F6071"/>
    <w:rsid w:val="006151AD"/>
    <w:rsid w:val="006C4B3B"/>
    <w:rsid w:val="006E115F"/>
    <w:rsid w:val="00726875"/>
    <w:rsid w:val="00861DE6"/>
    <w:rsid w:val="008C02B7"/>
    <w:rsid w:val="008E359E"/>
    <w:rsid w:val="009D595A"/>
    <w:rsid w:val="009E32D1"/>
    <w:rsid w:val="00A122C5"/>
    <w:rsid w:val="00A20232"/>
    <w:rsid w:val="00A95371"/>
    <w:rsid w:val="00AD458D"/>
    <w:rsid w:val="00AD5D68"/>
    <w:rsid w:val="00B02FA3"/>
    <w:rsid w:val="00B40616"/>
    <w:rsid w:val="00B45402"/>
    <w:rsid w:val="00B65694"/>
    <w:rsid w:val="00B66F4C"/>
    <w:rsid w:val="00C61B50"/>
    <w:rsid w:val="00D33044"/>
    <w:rsid w:val="00E0014B"/>
    <w:rsid w:val="00E55309"/>
    <w:rsid w:val="00EA0499"/>
    <w:rsid w:val="00EF6D87"/>
    <w:rsid w:val="00F01143"/>
    <w:rsid w:val="00F76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B5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C61B50"/>
    <w:rPr>
      <w:b/>
      <w:bCs/>
    </w:rPr>
  </w:style>
  <w:style w:type="character" w:customStyle="1" w:styleId="textspanview">
    <w:name w:val="textspanview"/>
    <w:basedOn w:val="a0"/>
    <w:uiPriority w:val="99"/>
    <w:rsid w:val="008E359E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E1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1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02F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rsid w:val="003132B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3132B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93A73-410E-4208-B3CB-D355A320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6"</Company>
  <LinksUpToDate>false</LinksUpToDate>
  <CharactersWithSpaces>12491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Почекаева И.В.</dc:creator>
  <cp:keywords/>
  <dc:description/>
  <cp:lastModifiedBy>Боярищева Татьяна Федоровна</cp:lastModifiedBy>
  <cp:revision>18</cp:revision>
  <cp:lastPrinted>2015-01-13T03:46:00Z</cp:lastPrinted>
  <dcterms:created xsi:type="dcterms:W3CDTF">2014-12-29T13:48:00Z</dcterms:created>
  <dcterms:modified xsi:type="dcterms:W3CDTF">2015-01-14T03:27:00Z</dcterms:modified>
</cp:coreProperties>
</file>