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F23A99" w:rsidRDefault="00FB438A" w:rsidP="003776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Нежилое здание с кадастровым номером 86:22:0008002:562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адресу: г. Югорск, ул. </w:t>
            </w:r>
            <w:proofErr w:type="gram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Садовая</w:t>
            </w:r>
            <w:proofErr w:type="gram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, д. 72, расположенн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ое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 земельном участке с кадастровым номером 86:22:0008002:56 разрешенное использование: обслуживание жилой застройки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692FB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F23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010A22" w:rsidRDefault="00692FB4" w:rsidP="00692FB4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объекта 5 547,5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., г</w:t>
            </w: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од постройки 1990, фундамент: железобетонный, стены: кирпичные, перегородки: кирпичные, перекрытия: сборные железобетонные плиты, кровля: шифер, полы: дощатые, линолеум, </w:t>
            </w:r>
            <w:proofErr w:type="spellStart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керам</w:t>
            </w:r>
            <w:proofErr w:type="spellEnd"/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. плитка.</w:t>
            </w:r>
            <w:proofErr w:type="gramEnd"/>
          </w:p>
          <w:p w:rsidR="00692FB4" w:rsidRDefault="00692FB4" w:rsidP="00692FB4">
            <w:pPr>
              <w:ind w:righ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10A22">
              <w:rPr>
                <w:rFonts w:ascii="PT Astra Serif" w:hAnsi="PT Astra Serif"/>
                <w:color w:val="000000"/>
                <w:sz w:val="24"/>
                <w:szCs w:val="24"/>
              </w:rPr>
              <w:t>Благоустройство: отопление, водопровод, канализация, электроосвещение.</w:t>
            </w:r>
          </w:p>
          <w:p w:rsidR="00D17F7B" w:rsidRDefault="00692FB4" w:rsidP="0069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Площадь земельного участка 9 597,0 </w:t>
            </w: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F23A9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692FB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 составляет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5 662 000,00</w:t>
            </w:r>
            <w:r w:rsidRPr="00A62349">
              <w:rPr>
                <w:rFonts w:ascii="PT Astra Serif" w:hAnsi="PT Astra Serif" w:cs="Times New Roman"/>
                <w:sz w:val="24"/>
                <w:szCs w:val="24"/>
              </w:rPr>
              <w:t xml:space="preserve"> рублей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17F7B" w:rsidRPr="00F23A99" w:rsidRDefault="00692FB4" w:rsidP="00692F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5B8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lastRenderedPageBreak/>
              <w:t>Кадастровые номера расположенных в пределах земельного участка объектов недвижимости: 86:22:0000000:7960, 86:22:0000000:8044, 86:22:0008002:1585, 86:22:0000000:8280, 86:22:0000000:8301, 86:22:0000000:8300, 86:22:0008002:562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A62349" w:rsidRDefault="00692FB4" w:rsidP="0019457B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23 818 000,00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23A99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11 909 000,00</w:t>
            </w:r>
          </w:p>
        </w:tc>
      </w:tr>
      <w:tr w:rsidR="00692FB4" w:rsidTr="002F4D34">
        <w:tc>
          <w:tcPr>
            <w:tcW w:w="2660" w:type="dxa"/>
          </w:tcPr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692FB4" w:rsidRPr="000A6A3B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692FB4" w:rsidRPr="00B157F9" w:rsidRDefault="00692FB4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23A99" w:rsidRDefault="00692FB4" w:rsidP="004D3AD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2 38</w:t>
            </w:r>
            <w:r w:rsidR="004D3A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800,00</w:t>
            </w:r>
            <w:r w:rsidRPr="00F23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92FB4" w:rsidRPr="006D110A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92FB4" w:rsidRPr="000A6A3B" w:rsidRDefault="00692FB4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23A99" w:rsidRDefault="004D3AD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1 190 900,00</w:t>
            </w:r>
          </w:p>
        </w:tc>
      </w:tr>
      <w:tr w:rsidR="00692FB4" w:rsidTr="002F4D34">
        <w:tc>
          <w:tcPr>
            <w:tcW w:w="2660" w:type="dxa"/>
          </w:tcPr>
          <w:p w:rsidR="00692FB4" w:rsidRPr="006D110A" w:rsidRDefault="00692FB4" w:rsidP="004D3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23A99" w:rsidRDefault="004D3ADD" w:rsidP="00F23A9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4 763 600,00</w:t>
            </w:r>
          </w:p>
        </w:tc>
      </w:tr>
      <w:tr w:rsidR="00692FB4" w:rsidTr="002F4D34">
        <w:tc>
          <w:tcPr>
            <w:tcW w:w="2660" w:type="dxa"/>
          </w:tcPr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692FB4" w:rsidRPr="00B157F9" w:rsidRDefault="00692FB4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4" w:rsidRPr="00820CA8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692FB4" w:rsidRPr="00820CA8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B4" w:rsidRDefault="00692FB4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692FB4" w:rsidRPr="00C4149B" w:rsidRDefault="00692FB4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ановленный срок договора купли 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692FB4" w:rsidTr="002F4D34">
        <w:tc>
          <w:tcPr>
            <w:tcW w:w="2660" w:type="dxa"/>
          </w:tcPr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692FB4" w:rsidRPr="00C4149B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действующим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92FB4" w:rsidTr="002F4D34">
        <w:tc>
          <w:tcPr>
            <w:tcW w:w="2660" w:type="dxa"/>
          </w:tcPr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692FB4" w:rsidRPr="00F9044F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692FB4" w:rsidRPr="00B157F9" w:rsidRDefault="00692FB4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692FB4" w:rsidRPr="00F9044F" w:rsidRDefault="00692FB4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692FB4" w:rsidRPr="00EE6948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92FB4" w:rsidRDefault="00692FB4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EE6948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692FB4" w:rsidTr="002F4D34">
        <w:tc>
          <w:tcPr>
            <w:tcW w:w="2660" w:type="dxa"/>
          </w:tcPr>
          <w:p w:rsidR="00692FB4" w:rsidRPr="00EE6948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692FB4" w:rsidRPr="00B157F9" w:rsidRDefault="00692FB4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692FB4" w:rsidRPr="00B157F9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692FB4" w:rsidRPr="007026C5" w:rsidRDefault="00692FB4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692FB4" w:rsidRPr="007026C5" w:rsidRDefault="00692FB4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692FB4" w:rsidTr="002F4D34">
        <w:tc>
          <w:tcPr>
            <w:tcW w:w="2660" w:type="dxa"/>
          </w:tcPr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7026C5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692FB4" w:rsidRDefault="00692FB4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692FB4" w:rsidRPr="00CB13B5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692FB4" w:rsidTr="002F4D34">
        <w:tc>
          <w:tcPr>
            <w:tcW w:w="2660" w:type="dxa"/>
          </w:tcPr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692FB4" w:rsidRPr="00CB13B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692FB4" w:rsidRPr="007026C5" w:rsidRDefault="00692FB4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92FB4" w:rsidRPr="006B118F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2FB4" w:rsidRDefault="00692FB4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овых операций (офшорные зоны) (далее – офшорные компании);</w:t>
            </w:r>
            <w:proofErr w:type="gramEnd"/>
          </w:p>
          <w:p w:rsidR="00692FB4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692FB4" w:rsidRPr="006B118F" w:rsidRDefault="00692FB4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4802FD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692FB4" w:rsidRDefault="002F2C8F" w:rsidP="002F2C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.2021 12:00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F75DBC" w:rsidRDefault="00692FB4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692FB4" w:rsidRPr="004802FD" w:rsidRDefault="00692FB4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92FB4" w:rsidRDefault="00692FB4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692FB4" w:rsidRPr="007026C5" w:rsidRDefault="00692FB4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692FB4" w:rsidRDefault="00692FB4" w:rsidP="002F2C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2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C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15:00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692FB4" w:rsidRDefault="002F2C8F" w:rsidP="002F2C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4802FD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692FB4" w:rsidRPr="007026C5" w:rsidRDefault="00692FB4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692FB4" w:rsidRDefault="002F2C8F" w:rsidP="002F2C8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2FB4">
              <w:rPr>
                <w:rFonts w:ascii="Times New Roman" w:hAnsi="Times New Roman" w:cs="Times New Roman"/>
                <w:sz w:val="24"/>
                <w:szCs w:val="24"/>
              </w:rPr>
              <w:t>.2021 09:00 (</w:t>
            </w:r>
            <w:proofErr w:type="gramStart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692F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692FB4" w:rsidRDefault="00692FB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692FB4" w:rsidRPr="007026C5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692FB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2FB4" w:rsidTr="00484968">
        <w:tc>
          <w:tcPr>
            <w:tcW w:w="9747" w:type="dxa"/>
            <w:gridSpan w:val="3"/>
            <w:shd w:val="clear" w:color="auto" w:fill="FFFF99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692FB4" w:rsidTr="002F4D34">
        <w:tc>
          <w:tcPr>
            <w:tcW w:w="2660" w:type="dxa"/>
          </w:tcPr>
          <w:p w:rsidR="00692FB4" w:rsidRPr="002F4D34" w:rsidRDefault="00692FB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2F4D34" w:rsidRDefault="00692FB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692FB4" w:rsidTr="002F4D34">
        <w:tc>
          <w:tcPr>
            <w:tcW w:w="2660" w:type="dxa"/>
          </w:tcPr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692FB4" w:rsidRPr="00F75DBC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692FB4" w:rsidRDefault="00692FB4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692FB4" w:rsidRPr="00876565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="002F2C8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C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Pr="00876565">
              <w:rPr>
                <w:rFonts w:ascii="Times New Roman" w:hAnsi="Times New Roman" w:cs="Times New Roman"/>
                <w:sz w:val="24"/>
                <w:szCs w:val="24"/>
              </w:rPr>
              <w:t>.2021, аукцион был признан не состоявшимся ввиду отсутствия заявок на участие в аукционе.</w:t>
            </w:r>
          </w:p>
          <w:p w:rsidR="00692FB4" w:rsidRDefault="00692FB4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46C3D"/>
    <w:rsid w:val="00253AEB"/>
    <w:rsid w:val="002B6CC4"/>
    <w:rsid w:val="002F2C8F"/>
    <w:rsid w:val="002F4D34"/>
    <w:rsid w:val="003450DE"/>
    <w:rsid w:val="00377634"/>
    <w:rsid w:val="004626B6"/>
    <w:rsid w:val="004802FD"/>
    <w:rsid w:val="00484968"/>
    <w:rsid w:val="004D3ADD"/>
    <w:rsid w:val="00692FB4"/>
    <w:rsid w:val="006B118F"/>
    <w:rsid w:val="006C3D48"/>
    <w:rsid w:val="006D0D35"/>
    <w:rsid w:val="006D110A"/>
    <w:rsid w:val="007026C5"/>
    <w:rsid w:val="00820CA8"/>
    <w:rsid w:val="00876565"/>
    <w:rsid w:val="0099470B"/>
    <w:rsid w:val="00A56581"/>
    <w:rsid w:val="00AA113C"/>
    <w:rsid w:val="00B157F9"/>
    <w:rsid w:val="00C4149B"/>
    <w:rsid w:val="00C936DB"/>
    <w:rsid w:val="00CB13B5"/>
    <w:rsid w:val="00D17F7B"/>
    <w:rsid w:val="00D24C20"/>
    <w:rsid w:val="00D63371"/>
    <w:rsid w:val="00D76A51"/>
    <w:rsid w:val="00DC5893"/>
    <w:rsid w:val="00E477B9"/>
    <w:rsid w:val="00E47AF3"/>
    <w:rsid w:val="00E661D2"/>
    <w:rsid w:val="00EE6948"/>
    <w:rsid w:val="00F23A99"/>
    <w:rsid w:val="00F75DBC"/>
    <w:rsid w:val="00F9044F"/>
    <w:rsid w:val="00FB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BBFE-ADE3-4D08-8D18-29940A4A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27</cp:revision>
  <cp:lastPrinted>2021-10-04T11:44:00Z</cp:lastPrinted>
  <dcterms:created xsi:type="dcterms:W3CDTF">2019-06-25T04:55:00Z</dcterms:created>
  <dcterms:modified xsi:type="dcterms:W3CDTF">2021-10-04T13:05:00Z</dcterms:modified>
</cp:coreProperties>
</file>