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proofErr w:type="gramStart"/>
            <w:r>
              <w:t>Исполняющий</w:t>
            </w:r>
            <w:proofErr w:type="gramEnd"/>
            <w:r>
              <w:t xml:space="preserve">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r>
              <w:t xml:space="preserve">______________И.Н. </w:t>
            </w:r>
            <w:proofErr w:type="spellStart"/>
            <w:r>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726437">
              <w:rPr>
                <w:lang w:val="en-US"/>
              </w:rPr>
              <w:t>Pavlova</w:t>
            </w:r>
            <w:r w:rsidR="00726437">
              <w:t>_</w:t>
            </w:r>
            <w:r w:rsidR="00726437">
              <w:rPr>
                <w:lang w:val="en-US"/>
              </w:rPr>
              <w:t>EI</w:t>
            </w:r>
            <w:r w:rsidR="00726437">
              <w:t>@</w:t>
            </w:r>
            <w:r w:rsidR="00726437">
              <w:rPr>
                <w:lang w:val="en-US"/>
              </w:rPr>
              <w:t>ugorsk</w:t>
            </w:r>
            <w:r w:rsidR="00726437">
              <w:t>.</w:t>
            </w:r>
            <w:r w:rsidR="00726437">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w:t>
            </w:r>
            <w:r w:rsidR="00BF158F">
              <w:rPr>
                <w:rStyle w:val="afb"/>
                <w:b/>
                <w:i w:val="0"/>
                <w:sz w:val="22"/>
                <w:szCs w:val="22"/>
              </w:rPr>
              <w:t>7 731 680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0D3D1A" w:rsidP="005B0E84">
            <w:pPr>
              <w:autoSpaceDE w:val="0"/>
              <w:autoSpaceDN w:val="0"/>
              <w:adjustRightInd w:val="0"/>
              <w:spacing w:after="0"/>
              <w:ind w:firstLine="709"/>
            </w:pPr>
            <w:r>
              <w:t>при достижении 7</w:t>
            </w:r>
            <w:r w:rsidR="00985AEE">
              <w:t>0</w:t>
            </w:r>
            <w:r w:rsidR="005B0E84">
              <w:t>% степени стр</w:t>
            </w:r>
            <w:r w:rsidR="004E2AF4">
              <w:t>оительной готовности Объекта – 7</w:t>
            </w:r>
            <w:r>
              <w:t>5</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0D3D1A" w:rsidP="000D3D1A">
            <w:pPr>
              <w:ind w:firstLine="742"/>
            </w:pPr>
            <w:r>
              <w:t>оставшиеся 25</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9F10F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9F5531">
              <w:rPr>
                <w:sz w:val="22"/>
                <w:szCs w:val="22"/>
              </w:rPr>
              <w:t>21</w:t>
            </w:r>
            <w:r w:rsidRPr="008455D9">
              <w:rPr>
                <w:sz w:val="22"/>
                <w:szCs w:val="22"/>
              </w:rPr>
              <w:t xml:space="preserve">»  </w:t>
            </w:r>
            <w:r w:rsidR="000D3D1A">
              <w:rPr>
                <w:sz w:val="22"/>
                <w:szCs w:val="22"/>
              </w:rPr>
              <w:t xml:space="preserve">  </w:t>
            </w:r>
            <w:r w:rsidR="009F5531">
              <w:rPr>
                <w:sz w:val="22"/>
                <w:szCs w:val="22"/>
              </w:rPr>
              <w:t>ноября</w:t>
            </w:r>
            <w:r w:rsidR="000D3D1A">
              <w:rPr>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D3D1A">
              <w:rPr>
                <w:sz w:val="22"/>
                <w:szCs w:val="22"/>
              </w:rPr>
              <w:t xml:space="preserve"> </w:t>
            </w:r>
            <w:r w:rsidR="009F5531">
              <w:rPr>
                <w:sz w:val="22"/>
                <w:szCs w:val="22"/>
              </w:rPr>
              <w:t>05</w:t>
            </w:r>
            <w:r w:rsidR="000D3D1A">
              <w:rPr>
                <w:sz w:val="22"/>
                <w:szCs w:val="22"/>
              </w:rPr>
              <w:t xml:space="preserve"> </w:t>
            </w:r>
            <w:r w:rsidR="00A05A73" w:rsidRPr="008455D9">
              <w:rPr>
                <w:sz w:val="22"/>
                <w:szCs w:val="22"/>
              </w:rPr>
              <w:t xml:space="preserve">»  </w:t>
            </w:r>
            <w:r w:rsidR="000D3D1A">
              <w:rPr>
                <w:rFonts w:cs="Arial"/>
                <w:sz w:val="22"/>
                <w:szCs w:val="22"/>
              </w:rPr>
              <w:t xml:space="preserve"> </w:t>
            </w:r>
            <w:r w:rsidR="009F5531">
              <w:rPr>
                <w:sz w:val="22"/>
                <w:szCs w:val="22"/>
              </w:rPr>
              <w:t xml:space="preserve">декабря  </w:t>
            </w:r>
            <w:r w:rsidR="009F5531">
              <w:rPr>
                <w:rFonts w:cs="Arial"/>
                <w:sz w:val="22"/>
                <w:szCs w:val="22"/>
              </w:rPr>
              <w:t xml:space="preserve"> </w:t>
            </w:r>
            <w:r w:rsidR="000D3D1A">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9F5531">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9F5531">
              <w:rPr>
                <w:sz w:val="22"/>
                <w:szCs w:val="22"/>
              </w:rPr>
              <w:t>07</w:t>
            </w:r>
            <w:r w:rsidR="00A05A73" w:rsidRPr="008455D9">
              <w:rPr>
                <w:sz w:val="22"/>
                <w:szCs w:val="22"/>
              </w:rPr>
              <w:t xml:space="preserve">»  </w:t>
            </w:r>
            <w:r w:rsidR="000D3D1A">
              <w:rPr>
                <w:sz w:val="22"/>
                <w:szCs w:val="22"/>
              </w:rPr>
              <w:t xml:space="preserve"> </w:t>
            </w:r>
            <w:r w:rsidR="009F5531">
              <w:rPr>
                <w:sz w:val="22"/>
                <w:szCs w:val="22"/>
              </w:rPr>
              <w:t xml:space="preserve">декабря  </w:t>
            </w:r>
            <w:r w:rsidR="009F5531">
              <w:rPr>
                <w:rFonts w:cs="Arial"/>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9F5531">
            <w:pPr>
              <w:spacing w:line="276" w:lineRule="auto"/>
            </w:pPr>
            <w:r>
              <w:rPr>
                <w:sz w:val="22"/>
                <w:szCs w:val="22"/>
              </w:rPr>
              <w:t>«</w:t>
            </w:r>
            <w:r w:rsidR="009F5531">
              <w:rPr>
                <w:sz w:val="22"/>
                <w:szCs w:val="22"/>
              </w:rPr>
              <w:t>08</w:t>
            </w:r>
            <w:r w:rsidR="000D3D1A">
              <w:rPr>
                <w:sz w:val="22"/>
                <w:szCs w:val="22"/>
              </w:rPr>
              <w:t xml:space="preserve"> </w:t>
            </w:r>
            <w:r w:rsidR="00A05A73">
              <w:rPr>
                <w:sz w:val="22"/>
                <w:szCs w:val="22"/>
              </w:rPr>
              <w:t>»</w:t>
            </w:r>
            <w:r w:rsidR="000D3D1A">
              <w:rPr>
                <w:sz w:val="22"/>
                <w:szCs w:val="22"/>
              </w:rPr>
              <w:t xml:space="preserve">  </w:t>
            </w:r>
            <w:r w:rsidR="009F5531">
              <w:rPr>
                <w:sz w:val="22"/>
                <w:szCs w:val="22"/>
              </w:rPr>
              <w:t xml:space="preserve">декабря  </w:t>
            </w:r>
            <w:r w:rsidR="009F5531">
              <w:rPr>
                <w:rFonts w:cs="Arial"/>
                <w:sz w:val="22"/>
                <w:szCs w:val="22"/>
              </w:rPr>
              <w:t xml:space="preserve"> </w:t>
            </w:r>
            <w:r w:rsidR="005B2D6E">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9F5531">
            <w:pPr>
              <w:spacing w:line="276" w:lineRule="auto"/>
            </w:pPr>
            <w:r>
              <w:rPr>
                <w:sz w:val="22"/>
                <w:szCs w:val="22"/>
              </w:rPr>
              <w:t>«</w:t>
            </w:r>
            <w:r w:rsidR="000D3D1A">
              <w:rPr>
                <w:sz w:val="22"/>
                <w:szCs w:val="22"/>
              </w:rPr>
              <w:t xml:space="preserve"> </w:t>
            </w:r>
            <w:r w:rsidR="009F5531">
              <w:rPr>
                <w:sz w:val="22"/>
                <w:szCs w:val="22"/>
              </w:rPr>
              <w:t>12</w:t>
            </w:r>
            <w:r w:rsidR="000D3D1A">
              <w:rPr>
                <w:sz w:val="22"/>
                <w:szCs w:val="22"/>
              </w:rPr>
              <w:t xml:space="preserve"> </w:t>
            </w:r>
            <w:r>
              <w:rPr>
                <w:sz w:val="22"/>
                <w:szCs w:val="22"/>
              </w:rPr>
              <w:t xml:space="preserve">» </w:t>
            </w:r>
            <w:r w:rsidR="000D3D1A">
              <w:rPr>
                <w:rFonts w:cs="Arial"/>
                <w:sz w:val="22"/>
                <w:szCs w:val="22"/>
              </w:rPr>
              <w:t xml:space="preserve">  </w:t>
            </w:r>
            <w:r w:rsidR="009F5531">
              <w:rPr>
                <w:sz w:val="22"/>
                <w:szCs w:val="22"/>
              </w:rPr>
              <w:t xml:space="preserve">декабря  </w:t>
            </w:r>
            <w:r w:rsidR="009F5531">
              <w:rPr>
                <w:rFonts w:cs="Arial"/>
                <w:sz w:val="22"/>
                <w:szCs w:val="22"/>
              </w:rPr>
              <w:t xml:space="preserve"> </w:t>
            </w:r>
            <w:bookmarkStart w:id="13" w:name="_GoBack"/>
            <w:bookmarkEnd w:id="13"/>
            <w:r w:rsidR="000D3D1A">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BF158F">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BF158F">
              <w:rPr>
                <w:b/>
                <w:kern w:val="1"/>
                <w:sz w:val="22"/>
                <w:szCs w:val="22"/>
                <w:lang w:eastAsia="ar-SA"/>
              </w:rPr>
              <w:t>88 658,40</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CA0B5C" w:rsidRDefault="00934B92" w:rsidP="00934B92">
            <w:pPr>
              <w:snapToGrid w:val="0"/>
              <w:spacing w:after="0"/>
              <w:rPr>
                <w:color w:val="000000"/>
              </w:rPr>
            </w:pPr>
            <w:r w:rsidRPr="00CA0B5C">
              <w:rPr>
                <w:color w:val="000000"/>
                <w:sz w:val="22"/>
                <w:szCs w:val="22"/>
              </w:rPr>
              <w:t xml:space="preserve">Наличие: </w:t>
            </w:r>
          </w:p>
          <w:p w:rsidR="00934B92" w:rsidRPr="00CA0B5C" w:rsidRDefault="00934B92" w:rsidP="00934B92">
            <w:pPr>
              <w:snapToGrid w:val="0"/>
              <w:spacing w:after="0"/>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CA0B5C" w:rsidRDefault="00934B92" w:rsidP="00934B92">
            <w:pPr>
              <w:snapToGrid w:val="0"/>
              <w:spacing w:after="0"/>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934B92" w:rsidRPr="00CA0B5C" w:rsidRDefault="00934B92" w:rsidP="00934B92">
            <w:pPr>
              <w:snapToGrid w:val="0"/>
              <w:spacing w:after="0"/>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934B92" w:rsidRPr="00CA0B5C" w:rsidRDefault="00934B92" w:rsidP="00934B92">
            <w:pPr>
              <w:snapToGrid w:val="0"/>
              <w:spacing w:after="0"/>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CA0B5C" w:rsidRDefault="00934B92" w:rsidP="00934B92">
            <w:pPr>
              <w:snapToGrid w:val="0"/>
              <w:spacing w:after="0"/>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934B92" w:rsidRPr="00CA0B5C" w:rsidRDefault="00934B92" w:rsidP="00934B92">
            <w:pPr>
              <w:snapToGrid w:val="0"/>
              <w:spacing w:after="0"/>
              <w:rPr>
                <w:color w:val="000000"/>
              </w:rPr>
            </w:pPr>
            <w:r w:rsidRPr="00CA0B5C">
              <w:rPr>
                <w:color w:val="000000"/>
                <w:sz w:val="22"/>
                <w:szCs w:val="22"/>
              </w:rPr>
              <w:t>- чистовой отделки стен и потолков без механических повреждений,</w:t>
            </w:r>
          </w:p>
          <w:p w:rsidR="00934B92" w:rsidRPr="00CA0B5C" w:rsidRDefault="00934B92" w:rsidP="00934B92">
            <w:pPr>
              <w:snapToGrid w:val="0"/>
              <w:spacing w:after="0"/>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934B92" w:rsidRPr="00CA0B5C" w:rsidRDefault="00934B92" w:rsidP="00934B92">
            <w:pPr>
              <w:snapToGrid w:val="0"/>
              <w:spacing w:after="0"/>
              <w:rPr>
                <w:color w:val="000000"/>
              </w:rPr>
            </w:pPr>
            <w:r w:rsidRPr="00CA0B5C">
              <w:rPr>
                <w:color w:val="000000"/>
                <w:sz w:val="22"/>
                <w:szCs w:val="22"/>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934B92">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BF158F" w:rsidP="000D3D1A">
            <w:pPr>
              <w:autoSpaceDE w:val="0"/>
              <w:snapToGrid w:val="0"/>
              <w:spacing w:line="276" w:lineRule="auto"/>
              <w:ind w:right="-174"/>
              <w:jc w:val="center"/>
              <w:rPr>
                <w:sz w:val="20"/>
                <w:lang w:eastAsia="en-US"/>
              </w:rPr>
            </w:pPr>
            <w:r>
              <w:rPr>
                <w:sz w:val="20"/>
                <w:lang w:eastAsia="en-US"/>
              </w:rPr>
              <w:t>Не менее 6</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BF158F" w:rsidP="000D3D1A">
            <w:pPr>
              <w:autoSpaceDE w:val="0"/>
              <w:snapToGrid w:val="0"/>
              <w:spacing w:line="276" w:lineRule="auto"/>
              <w:ind w:right="-174"/>
              <w:jc w:val="center"/>
              <w:rPr>
                <w:sz w:val="20"/>
                <w:lang w:eastAsia="en-US"/>
              </w:rPr>
            </w:pPr>
            <w:r>
              <w:rPr>
                <w:sz w:val="20"/>
                <w:lang w:eastAsia="en-US"/>
              </w:rPr>
              <w:t>не менее 318</w:t>
            </w:r>
            <w:r w:rsidR="00F57CF2">
              <w:rPr>
                <w:sz w:val="20"/>
                <w:lang w:eastAsia="en-US"/>
              </w:rPr>
              <w:t xml:space="preserve"> кв. метра (за исключением балконов, лоджий)</w:t>
            </w:r>
          </w:p>
        </w:tc>
      </w:tr>
    </w:tbl>
    <w:p w:rsidR="00874D79" w:rsidRPr="00FF1F1D" w:rsidRDefault="00874D79" w:rsidP="007049DF">
      <w:pPr>
        <w:pStyle w:val="afc"/>
        <w:rPr>
          <w:rFonts w:ascii="Times New Roman" w:hAnsi="Times New Roman"/>
          <w:b/>
          <w:sz w:val="20"/>
        </w:rPr>
      </w:pPr>
    </w:p>
    <w:p w:rsidR="008B646D" w:rsidRDefault="008B646D" w:rsidP="005A6F90">
      <w:pPr>
        <w:keepNext/>
        <w:keepLines/>
        <w:widowControl w:val="0"/>
        <w:suppressLineNumbers/>
        <w:jc w:val="left"/>
        <w:rPr>
          <w:b/>
        </w:rPr>
      </w:pPr>
      <w:proofErr w:type="gramStart"/>
      <w:r>
        <w:rPr>
          <w:b/>
        </w:rPr>
        <w:t>Исполняющий</w:t>
      </w:r>
      <w:proofErr w:type="gramEnd"/>
      <w:r>
        <w:rPr>
          <w:b/>
        </w:rPr>
        <w:t xml:space="preserve">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 xml:space="preserve">И.Н. </w:t>
      </w:r>
      <w:proofErr w:type="spellStart"/>
      <w:r w:rsidR="008B646D">
        <w:rPr>
          <w:b/>
        </w:rPr>
        <w:t>Долматов</w:t>
      </w:r>
      <w:proofErr w:type="spellEnd"/>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0027260B">
        <w:rPr>
          <w:shd w:val="clear" w:color="auto" w:fill="FFFFFF"/>
        </w:rPr>
        <w:t>объекта</w:t>
      </w:r>
      <w:proofErr w:type="gramEnd"/>
      <w:r w:rsidR="0027260B">
        <w:rPr>
          <w:shd w:val="clear" w:color="auto" w:fill="FFFFFF"/>
        </w:rPr>
        <w:t xml:space="preserve">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000D6A92">
        <w:rPr>
          <w:shd w:val="clear" w:color="auto" w:fill="FFFFFF"/>
        </w:rPr>
        <w:t xml:space="preserve"> в собственность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0D6A92">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6B3625">
        <w:t>7</w:t>
      </w:r>
      <w:r w:rsidR="0027260B">
        <w:t>0</w:t>
      </w:r>
      <w:r w:rsidR="004D5314">
        <w:t>% степени стр</w:t>
      </w:r>
      <w:r>
        <w:t>оительной готовности Объекта – 7</w:t>
      </w:r>
      <w:r w:rsidR="006B3625">
        <w:t>5</w:t>
      </w:r>
      <w:r w:rsidR="004D5314">
        <w:t xml:space="preserve">% от цены муниципального контракта </w:t>
      </w:r>
      <w:r w:rsidR="00BF158F">
        <w:t>–</w:t>
      </w:r>
      <w:r w:rsidR="004D5314">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B3625">
        <w:t>25</w:t>
      </w:r>
      <w:r>
        <w:t xml:space="preserve">% от цены муниципального контракта </w:t>
      </w:r>
      <w:r w:rsidR="00BF158F">
        <w:t>–</w:t>
      </w:r>
      <w:r>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rsidR="000D6A92">
        <w:t>Муниципального заказчика</w:t>
      </w:r>
      <w:r>
        <w:t xml:space="preserve">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roofErr w:type="gramEnd"/>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0D6A92">
        <w:t>зчика, указанному в разделе   12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043F1D" w:rsidRDefault="00043F1D" w:rsidP="001C7191">
      <w:pPr>
        <w:keepNext/>
        <w:jc w:val="center"/>
        <w:outlineLvl w:val="5"/>
        <w:rPr>
          <w:b/>
        </w:rPr>
      </w:pPr>
      <w:r w:rsidRPr="007260A1">
        <w:rPr>
          <w:b/>
        </w:rPr>
        <w:t xml:space="preserve">Характеристика </w:t>
      </w:r>
      <w:r>
        <w:rPr>
          <w:b/>
        </w:rPr>
        <w:t>объектов долевого строительства</w:t>
      </w:r>
    </w:p>
    <w:p w:rsidR="00F85B0A" w:rsidRPr="00E467CF" w:rsidRDefault="00F85B0A" w:rsidP="001C7191">
      <w:pPr>
        <w:keepNext/>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C0731C" w:rsidRPr="007260A1" w:rsidTr="001C7191">
        <w:trPr>
          <w:trHeight w:val="239"/>
        </w:trPr>
        <w:tc>
          <w:tcPr>
            <w:tcW w:w="567" w:type="dxa"/>
            <w:tcBorders>
              <w:top w:val="single" w:sz="4" w:space="0" w:color="000000"/>
              <w:left w:val="single" w:sz="4" w:space="0" w:color="000000"/>
              <w:bottom w:val="single" w:sz="4" w:space="0" w:color="000000"/>
            </w:tcBorders>
            <w:vAlign w:val="center"/>
          </w:tcPr>
          <w:p w:rsidR="00C0731C" w:rsidRDefault="00F722DA" w:rsidP="001C7191">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BF158F" w:rsidRPr="007260A1" w:rsidTr="001C7191">
        <w:trPr>
          <w:trHeight w:val="239"/>
        </w:trPr>
        <w:tc>
          <w:tcPr>
            <w:tcW w:w="567" w:type="dxa"/>
            <w:tcBorders>
              <w:top w:val="single" w:sz="4" w:space="0" w:color="000000"/>
              <w:left w:val="single" w:sz="4" w:space="0" w:color="000000"/>
              <w:bottom w:val="single" w:sz="4" w:space="0" w:color="000000"/>
            </w:tcBorders>
            <w:vAlign w:val="center"/>
          </w:tcPr>
          <w:p w:rsidR="00BF158F" w:rsidRDefault="00BF158F" w:rsidP="001C7191">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BF158F" w:rsidRPr="007260A1" w:rsidRDefault="00BF158F"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F158F" w:rsidRPr="007260A1" w:rsidRDefault="00BF158F"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F158F" w:rsidRPr="007260A1" w:rsidRDefault="00BF158F"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BF158F" w:rsidRDefault="00BF158F"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BF158F" w:rsidRPr="007260A1" w:rsidRDefault="00BF158F"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BF158F" w:rsidRPr="007260A1" w:rsidRDefault="00BF158F"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1C7191" w:rsidRDefault="001C7191" w:rsidP="00B83258">
      <w:pPr>
        <w:snapToGrid w:val="0"/>
        <w:rPr>
          <w:b/>
          <w:sz w:val="22"/>
          <w:szCs w:val="22"/>
        </w:rPr>
      </w:pPr>
    </w:p>
    <w:p w:rsidR="002B7FD9" w:rsidRDefault="002B7FD9" w:rsidP="00B83258">
      <w:pPr>
        <w:snapToGrid w:val="0"/>
        <w:rPr>
          <w:b/>
          <w:sz w:val="22"/>
          <w:szCs w:val="22"/>
        </w:rPr>
      </w:pPr>
      <w:proofErr w:type="gramStart"/>
      <w:r>
        <w:rPr>
          <w:b/>
          <w:sz w:val="22"/>
          <w:szCs w:val="22"/>
        </w:rPr>
        <w:t>Исполняющий</w:t>
      </w:r>
      <w:proofErr w:type="gramEnd"/>
      <w:r>
        <w:rPr>
          <w:b/>
          <w:sz w:val="22"/>
          <w:szCs w:val="22"/>
        </w:rPr>
        <w:t xml:space="preserve">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B83258" w:rsidRPr="007B39F0" w:rsidRDefault="00B83258" w:rsidP="00B83258">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w:t>
      </w:r>
      <w:proofErr w:type="spellStart"/>
      <w:r w:rsidR="002B7FD9">
        <w:rPr>
          <w:b/>
          <w:sz w:val="22"/>
          <w:szCs w:val="22"/>
        </w:rPr>
        <w:t>Долматов</w:t>
      </w:r>
      <w:proofErr w:type="spellEnd"/>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4D5314"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A02454">
            <w:t>‬</w:t>
          </w:r>
          <w:r w:rsidR="00A02454">
            <w:t>‬</w:t>
          </w:r>
          <w:r w:rsidR="00314924">
            <w:t>‬</w:t>
          </w:r>
          <w:r w:rsidR="00314924">
            <w:t>‬</w:t>
          </w:r>
          <w:r w:rsidR="000052D0">
            <w:t>‬</w:t>
          </w:r>
          <w:r w:rsidR="000052D0">
            <w:t>‬</w:t>
          </w:r>
          <w:r w:rsidR="009F5531">
            <w:t>‬</w:t>
          </w:r>
          <w:r w:rsidR="009F5531">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BF158F">
        <w:rPr>
          <w:b/>
        </w:rPr>
        <w:t xml:space="preserve"> НМЦК = 318</w:t>
      </w:r>
      <w:r w:rsidR="00894061">
        <w:rPr>
          <w:b/>
        </w:rPr>
        <w:t xml:space="preserve"> * 5</w:t>
      </w:r>
      <w:r w:rsidR="00EA1F97">
        <w:rPr>
          <w:b/>
        </w:rPr>
        <w:t>5 760,</w:t>
      </w:r>
      <w:r w:rsidR="00894061">
        <w:rPr>
          <w:b/>
        </w:rPr>
        <w:t xml:space="preserve">00 руб. = </w:t>
      </w:r>
      <w:r w:rsidR="00ED3B61">
        <w:rPr>
          <w:b/>
        </w:rPr>
        <w:t>1</w:t>
      </w:r>
      <w:r w:rsidR="00BF158F">
        <w:rPr>
          <w:b/>
        </w:rPr>
        <w:t>7 731 680</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proofErr w:type="gramStart"/>
      <w:r>
        <w:rPr>
          <w:b/>
        </w:rPr>
        <w:t>Исполняющий</w:t>
      </w:r>
      <w:proofErr w:type="gramEnd"/>
      <w:r>
        <w:rPr>
          <w:b/>
        </w:rPr>
        <w:t xml:space="preserve">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 xml:space="preserve">И.Н. </w:t>
      </w:r>
      <w:proofErr w:type="spellStart"/>
      <w:r w:rsidR="007E2718">
        <w:rPr>
          <w:b/>
        </w:rPr>
        <w:t>Долматов</w:t>
      </w:r>
      <w:proofErr w:type="spellEnd"/>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2D0" w:rsidRDefault="000052D0">
      <w:pPr>
        <w:spacing w:after="0"/>
      </w:pPr>
      <w:r>
        <w:separator/>
      </w:r>
    </w:p>
  </w:endnote>
  <w:endnote w:type="continuationSeparator" w:id="0">
    <w:p w:rsidR="000052D0" w:rsidRDefault="00005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F5531">
      <w:rPr>
        <w:rStyle w:val="a7"/>
        <w:noProof/>
      </w:rPr>
      <w:t>26</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2D0" w:rsidRDefault="000052D0">
      <w:pPr>
        <w:spacing w:after="0"/>
      </w:pPr>
      <w:r>
        <w:separator/>
      </w:r>
    </w:p>
  </w:footnote>
  <w:footnote w:type="continuationSeparator" w:id="0">
    <w:p w:rsidR="000052D0" w:rsidRDefault="000052D0">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52D0"/>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D1A"/>
    <w:rsid w:val="000D4691"/>
    <w:rsid w:val="000D6A92"/>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260B"/>
    <w:rsid w:val="00275831"/>
    <w:rsid w:val="002765DB"/>
    <w:rsid w:val="0027736B"/>
    <w:rsid w:val="002818F9"/>
    <w:rsid w:val="002838CB"/>
    <w:rsid w:val="0028781F"/>
    <w:rsid w:val="00292D67"/>
    <w:rsid w:val="00293C1B"/>
    <w:rsid w:val="002A3D75"/>
    <w:rsid w:val="002A6A8C"/>
    <w:rsid w:val="002B091F"/>
    <w:rsid w:val="002B4A6C"/>
    <w:rsid w:val="002B7FD9"/>
    <w:rsid w:val="002C44FE"/>
    <w:rsid w:val="002C630D"/>
    <w:rsid w:val="002D07BC"/>
    <w:rsid w:val="002D0A98"/>
    <w:rsid w:val="002E0A8A"/>
    <w:rsid w:val="002F172D"/>
    <w:rsid w:val="002F18C5"/>
    <w:rsid w:val="002F3FF0"/>
    <w:rsid w:val="002F4196"/>
    <w:rsid w:val="002F4D67"/>
    <w:rsid w:val="002F5B13"/>
    <w:rsid w:val="002F6490"/>
    <w:rsid w:val="002F6944"/>
    <w:rsid w:val="002F7A06"/>
    <w:rsid w:val="003053BB"/>
    <w:rsid w:val="00305D8E"/>
    <w:rsid w:val="00311AD9"/>
    <w:rsid w:val="00313E8C"/>
    <w:rsid w:val="00314924"/>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4AC7"/>
    <w:rsid w:val="00536E06"/>
    <w:rsid w:val="005401AE"/>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70045E"/>
    <w:rsid w:val="00701E50"/>
    <w:rsid w:val="00702613"/>
    <w:rsid w:val="007049DF"/>
    <w:rsid w:val="00704C11"/>
    <w:rsid w:val="007134DF"/>
    <w:rsid w:val="0071712E"/>
    <w:rsid w:val="0072154E"/>
    <w:rsid w:val="00726437"/>
    <w:rsid w:val="00727539"/>
    <w:rsid w:val="00732722"/>
    <w:rsid w:val="00734732"/>
    <w:rsid w:val="00735BF8"/>
    <w:rsid w:val="007364BA"/>
    <w:rsid w:val="007372A5"/>
    <w:rsid w:val="00740A60"/>
    <w:rsid w:val="0074184E"/>
    <w:rsid w:val="00743264"/>
    <w:rsid w:val="007504F5"/>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C4BD2"/>
    <w:rsid w:val="007C563F"/>
    <w:rsid w:val="007E04CA"/>
    <w:rsid w:val="007E0C08"/>
    <w:rsid w:val="007E16E4"/>
    <w:rsid w:val="007E2718"/>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7D09"/>
    <w:rsid w:val="00852214"/>
    <w:rsid w:val="00854901"/>
    <w:rsid w:val="00856815"/>
    <w:rsid w:val="008616E5"/>
    <w:rsid w:val="00865EE1"/>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17105"/>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F04F5"/>
    <w:rsid w:val="009F0C6F"/>
    <w:rsid w:val="009F10F8"/>
    <w:rsid w:val="009F5531"/>
    <w:rsid w:val="009F67D1"/>
    <w:rsid w:val="009F7C7E"/>
    <w:rsid w:val="00A02454"/>
    <w:rsid w:val="00A02986"/>
    <w:rsid w:val="00A05A73"/>
    <w:rsid w:val="00A100B2"/>
    <w:rsid w:val="00A22D21"/>
    <w:rsid w:val="00A25C3E"/>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58F"/>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4209A"/>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839"/>
    <w:rsid w:val="00DA71CB"/>
    <w:rsid w:val="00DB0DBD"/>
    <w:rsid w:val="00DB45B6"/>
    <w:rsid w:val="00DB4A01"/>
    <w:rsid w:val="00DB7986"/>
    <w:rsid w:val="00DC050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1E5F7-69D9-4B67-9D3F-55ABF823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6691</TotalTime>
  <Pages>30</Pages>
  <Words>11325</Words>
  <Characters>64558</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203</cp:revision>
  <cp:lastPrinted>2016-11-17T11:58:00Z</cp:lastPrinted>
  <dcterms:created xsi:type="dcterms:W3CDTF">2015-03-30T09:50:00Z</dcterms:created>
  <dcterms:modified xsi:type="dcterms:W3CDTF">2016-11-21T05:11:00Z</dcterms:modified>
</cp:coreProperties>
</file>