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997F2E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  <w:sz w:val="22"/>
          <w:szCs w:val="22"/>
        </w:rPr>
      </w:pPr>
      <w:r w:rsidRPr="00997F2E">
        <w:rPr>
          <w:rFonts w:ascii="PT Astra Serif" w:eastAsia="Times New Roman" w:hAnsi="PT Astra Serif"/>
          <w:b/>
          <w:color w:val="000000"/>
          <w:sz w:val="22"/>
          <w:szCs w:val="22"/>
        </w:rPr>
        <w:t>Часть</w:t>
      </w:r>
      <w:r w:rsidRPr="00997F2E">
        <w:rPr>
          <w:rFonts w:ascii="PT Astra Serif" w:hAnsi="PT Astra Serif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997F2E" w:rsidRDefault="00E66E25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sz w:val="22"/>
          <w:szCs w:val="22"/>
        </w:rPr>
      </w:pPr>
      <w:r w:rsidRPr="00997F2E">
        <w:rPr>
          <w:rFonts w:ascii="PT Astra Serif" w:hAnsi="PT Astra Serif"/>
          <w:b/>
          <w:color w:val="000000"/>
          <w:sz w:val="22"/>
          <w:szCs w:val="22"/>
        </w:rPr>
        <w:t xml:space="preserve">на </w:t>
      </w:r>
      <w:r w:rsidR="007724B4" w:rsidRPr="00997F2E">
        <w:rPr>
          <w:rFonts w:ascii="PT Astra Serif" w:hAnsi="PT Astra Serif"/>
          <w:b/>
          <w:sz w:val="22"/>
          <w:szCs w:val="22"/>
        </w:rPr>
        <w:t>выполнение работ по замене бордюрного камня вдоль проезжей части дорог</w:t>
      </w:r>
      <w:r w:rsidR="00B7607A" w:rsidRPr="00997F2E">
        <w:rPr>
          <w:rFonts w:ascii="PT Astra Serif" w:hAnsi="PT Astra Serif"/>
          <w:b/>
          <w:sz w:val="22"/>
          <w:szCs w:val="22"/>
        </w:rPr>
        <w:t xml:space="preserve"> в городе </w:t>
      </w:r>
      <w:proofErr w:type="spellStart"/>
      <w:r w:rsidR="00B7607A" w:rsidRPr="00997F2E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Pr="00997F2E">
        <w:rPr>
          <w:rFonts w:ascii="PT Astra Serif" w:hAnsi="PT Astra Serif"/>
          <w:b/>
          <w:sz w:val="22"/>
          <w:szCs w:val="22"/>
        </w:rPr>
        <w:t>.</w:t>
      </w:r>
    </w:p>
    <w:p w:rsidR="007724B4" w:rsidRPr="00997F2E" w:rsidRDefault="007724B4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7724B4" w:rsidRPr="00997F2E" w:rsidRDefault="00E66E25" w:rsidP="00B7607A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997F2E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997F2E">
        <w:rPr>
          <w:rFonts w:ascii="PT Astra Serif" w:hAnsi="PT Astra Serif"/>
          <w:bCs/>
          <w:kern w:val="2"/>
          <w:sz w:val="22"/>
          <w:szCs w:val="22"/>
        </w:rPr>
        <w:t>:</w:t>
      </w:r>
      <w:r w:rsidRPr="00997F2E">
        <w:rPr>
          <w:rFonts w:ascii="PT Astra Serif" w:hAnsi="PT Astra Serif"/>
          <w:kern w:val="2"/>
          <w:sz w:val="22"/>
          <w:szCs w:val="22"/>
        </w:rPr>
        <w:t xml:space="preserve"> </w:t>
      </w:r>
      <w:r w:rsidRPr="00997F2E">
        <w:rPr>
          <w:rFonts w:ascii="PT Astra Serif" w:hAnsi="PT Astra Serif"/>
          <w:sz w:val="22"/>
          <w:szCs w:val="22"/>
        </w:rPr>
        <w:t xml:space="preserve">Ханты - Мансийский автономный округ - Югра, г. </w:t>
      </w:r>
      <w:proofErr w:type="spellStart"/>
      <w:r w:rsidRPr="00997F2E">
        <w:rPr>
          <w:rFonts w:ascii="PT Astra Serif" w:hAnsi="PT Astra Serif"/>
          <w:sz w:val="22"/>
          <w:szCs w:val="22"/>
        </w:rPr>
        <w:t>Югорск</w:t>
      </w:r>
      <w:proofErr w:type="spellEnd"/>
      <w:r w:rsidRPr="00997F2E">
        <w:rPr>
          <w:rFonts w:ascii="PT Astra Serif" w:hAnsi="PT Astra Serif"/>
          <w:sz w:val="22"/>
          <w:szCs w:val="22"/>
        </w:rPr>
        <w:t xml:space="preserve">, </w:t>
      </w:r>
      <w:r w:rsidR="007724B4" w:rsidRPr="00997F2E">
        <w:rPr>
          <w:rFonts w:ascii="PT Astra Serif" w:hAnsi="PT Astra Serif"/>
          <w:sz w:val="22"/>
          <w:szCs w:val="22"/>
        </w:rPr>
        <w:t>уличная дорожная сеть. Конкретные места выполнения работ будут утверждены уполномоченным лицом Муниципального заказчика на стадии исполнения муниципального контракт</w:t>
      </w:r>
      <w:r w:rsidR="00997F2E" w:rsidRPr="00997F2E">
        <w:rPr>
          <w:rFonts w:ascii="PT Astra Serif" w:hAnsi="PT Astra Serif"/>
          <w:sz w:val="22"/>
          <w:szCs w:val="22"/>
        </w:rPr>
        <w:t>а</w:t>
      </w:r>
      <w:r w:rsidR="007724B4" w:rsidRPr="00997F2E">
        <w:rPr>
          <w:rFonts w:ascii="PT Astra Serif" w:hAnsi="PT Astra Serif"/>
          <w:sz w:val="22"/>
          <w:szCs w:val="22"/>
        </w:rPr>
        <w:t>.</w:t>
      </w:r>
    </w:p>
    <w:p w:rsidR="00E66E25" w:rsidRPr="00997F2E" w:rsidRDefault="00E66E25" w:rsidP="007724B4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997F2E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997F2E" w:rsidRDefault="00E66E25" w:rsidP="00E66E25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97F2E">
        <w:rPr>
          <w:rFonts w:ascii="PT Astra Serif" w:hAnsi="PT Astra Serif"/>
          <w:kern w:val="2"/>
          <w:sz w:val="22"/>
          <w:szCs w:val="22"/>
        </w:rPr>
        <w:t xml:space="preserve">- начало: </w:t>
      </w:r>
      <w:proofErr w:type="gramStart"/>
      <w:r w:rsidRPr="00997F2E">
        <w:rPr>
          <w:rFonts w:ascii="PT Astra Serif" w:hAnsi="PT Astra Serif"/>
          <w:kern w:val="2"/>
          <w:sz w:val="22"/>
          <w:szCs w:val="22"/>
        </w:rPr>
        <w:t>с даты заключения</w:t>
      </w:r>
      <w:proofErr w:type="gramEnd"/>
      <w:r w:rsidRPr="00997F2E">
        <w:rPr>
          <w:rFonts w:ascii="PT Astra Serif" w:hAnsi="PT Astra Serif"/>
          <w:kern w:val="2"/>
          <w:sz w:val="22"/>
          <w:szCs w:val="22"/>
        </w:rPr>
        <w:t xml:space="preserve"> муниципального контракта;</w:t>
      </w:r>
    </w:p>
    <w:p w:rsidR="00E66E25" w:rsidRPr="00997F2E" w:rsidRDefault="00E66E25" w:rsidP="00E66E25">
      <w:pPr>
        <w:spacing w:after="0"/>
        <w:rPr>
          <w:rFonts w:ascii="PT Astra Serif" w:hAnsi="PT Astra Serif"/>
          <w:sz w:val="22"/>
          <w:szCs w:val="22"/>
        </w:rPr>
      </w:pPr>
      <w:r w:rsidRPr="00997F2E">
        <w:rPr>
          <w:rFonts w:ascii="PT Astra Serif" w:hAnsi="PT Astra Serif"/>
          <w:kern w:val="2"/>
          <w:sz w:val="22"/>
          <w:szCs w:val="22"/>
        </w:rPr>
        <w:t>- окончание:</w:t>
      </w:r>
      <w:r w:rsidRPr="00997F2E">
        <w:rPr>
          <w:rFonts w:ascii="PT Astra Serif" w:hAnsi="PT Astra Serif"/>
          <w:sz w:val="22"/>
          <w:szCs w:val="22"/>
        </w:rPr>
        <w:t xml:space="preserve"> 01 </w:t>
      </w:r>
      <w:r w:rsidR="00F1191A" w:rsidRPr="00997F2E">
        <w:rPr>
          <w:rFonts w:ascii="PT Astra Serif" w:hAnsi="PT Astra Serif"/>
          <w:sz w:val="22"/>
          <w:szCs w:val="22"/>
        </w:rPr>
        <w:t xml:space="preserve">августа </w:t>
      </w:r>
      <w:r w:rsidR="00997F2E" w:rsidRPr="00997F2E">
        <w:rPr>
          <w:rFonts w:ascii="PT Astra Serif" w:hAnsi="PT Astra Serif"/>
          <w:sz w:val="22"/>
          <w:szCs w:val="22"/>
        </w:rPr>
        <w:t>2021 года.</w:t>
      </w:r>
    </w:p>
    <w:p w:rsidR="008341B7" w:rsidRPr="00997F2E" w:rsidRDefault="00E66E25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  <w:sz w:val="22"/>
          <w:szCs w:val="22"/>
        </w:rPr>
      </w:pPr>
      <w:r w:rsidRPr="00997F2E">
        <w:rPr>
          <w:rFonts w:ascii="PT Astra Serif" w:hAnsi="PT Astra Serif"/>
          <w:bCs/>
          <w:kern w:val="2"/>
          <w:sz w:val="22"/>
          <w:szCs w:val="22"/>
        </w:rPr>
        <w:tab/>
      </w:r>
      <w:r w:rsidRPr="00997F2E">
        <w:rPr>
          <w:rFonts w:ascii="PT Astra Serif" w:hAnsi="PT Astra Serif"/>
          <w:bCs/>
          <w:kern w:val="2"/>
          <w:sz w:val="22"/>
          <w:szCs w:val="22"/>
        </w:rPr>
        <w:tab/>
      </w:r>
      <w:r w:rsidR="008341B7" w:rsidRPr="00997F2E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66E25" w:rsidRPr="00997F2E" w:rsidRDefault="008341B7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color w:val="000000"/>
          <w:sz w:val="22"/>
          <w:szCs w:val="22"/>
        </w:rPr>
      </w:pPr>
      <w:r w:rsidRPr="00997F2E">
        <w:rPr>
          <w:rFonts w:ascii="PT Astra Serif" w:hAnsi="PT Astra Serif"/>
          <w:color w:val="000000"/>
          <w:sz w:val="22"/>
          <w:szCs w:val="22"/>
        </w:rPr>
        <w:tab/>
      </w:r>
      <w:r w:rsidRPr="00997F2E">
        <w:rPr>
          <w:rFonts w:ascii="PT Astra Serif" w:hAnsi="PT Astra Serif"/>
          <w:color w:val="000000"/>
          <w:sz w:val="22"/>
          <w:szCs w:val="22"/>
        </w:rPr>
        <w:tab/>
      </w:r>
      <w:r w:rsidR="00E66E25" w:rsidRPr="00997F2E">
        <w:rPr>
          <w:rFonts w:ascii="PT Astra Serif" w:hAnsi="PT Astra Serif"/>
          <w:color w:val="000000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E66E25" w:rsidRPr="00997F2E" w:rsidRDefault="00E66E25" w:rsidP="00E66E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997F2E">
        <w:rPr>
          <w:rFonts w:ascii="PT Astra Serif" w:hAnsi="PT Astra Serif"/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E66E25" w:rsidRPr="00997F2E" w:rsidRDefault="00E66E25" w:rsidP="00E66E25">
      <w:pPr>
        <w:spacing w:after="0"/>
        <w:ind w:firstLine="709"/>
        <w:rPr>
          <w:rFonts w:ascii="PT Astra Serif" w:hAnsi="PT Astra Serif"/>
          <w:sz w:val="22"/>
          <w:szCs w:val="22"/>
        </w:rPr>
      </w:pPr>
      <w:r w:rsidRPr="00997F2E">
        <w:rPr>
          <w:rFonts w:ascii="PT Astra Serif" w:hAnsi="PT Astra Serif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E66E25" w:rsidRPr="00997F2E" w:rsidRDefault="00E66E25" w:rsidP="00E66E25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997F2E">
        <w:rPr>
          <w:rFonts w:ascii="PT Astra Serif" w:hAnsi="PT Astra Serif"/>
          <w:sz w:val="22"/>
          <w:szCs w:val="22"/>
        </w:rPr>
        <w:t>Срок предоставления гарантии на выполненные раб</w:t>
      </w:r>
      <w:r w:rsidR="00F1191A" w:rsidRPr="00997F2E">
        <w:rPr>
          <w:rFonts w:ascii="PT Astra Serif" w:hAnsi="PT Astra Serif"/>
          <w:sz w:val="22"/>
          <w:szCs w:val="22"/>
        </w:rPr>
        <w:t>оты устанавливается в размере 36</w:t>
      </w:r>
      <w:r w:rsidRPr="00997F2E">
        <w:rPr>
          <w:rFonts w:ascii="PT Astra Serif" w:hAnsi="PT Astra Serif"/>
          <w:sz w:val="22"/>
          <w:szCs w:val="22"/>
        </w:rPr>
        <w:t xml:space="preserve"> (</w:t>
      </w:r>
      <w:r w:rsidR="00F1191A" w:rsidRPr="00997F2E">
        <w:rPr>
          <w:rFonts w:ascii="PT Astra Serif" w:hAnsi="PT Astra Serif"/>
          <w:sz w:val="22"/>
          <w:szCs w:val="22"/>
        </w:rPr>
        <w:t>тридцать шесть</w:t>
      </w:r>
      <w:r w:rsidRPr="00997F2E">
        <w:rPr>
          <w:rFonts w:ascii="PT Astra Serif" w:hAnsi="PT Astra Serif"/>
          <w:sz w:val="22"/>
          <w:szCs w:val="22"/>
        </w:rPr>
        <w:t xml:space="preserve">) календарных месяцев с даты </w:t>
      </w:r>
      <w:proofErr w:type="gramStart"/>
      <w:r w:rsidRPr="00997F2E">
        <w:rPr>
          <w:rFonts w:ascii="PT Astra Serif" w:hAnsi="PT Astra Serif"/>
          <w:sz w:val="22"/>
          <w:szCs w:val="22"/>
        </w:rPr>
        <w:t>подписания акта приемки результата исполнения контракта</w:t>
      </w:r>
      <w:proofErr w:type="gramEnd"/>
      <w:r w:rsidRPr="00997F2E">
        <w:rPr>
          <w:rFonts w:ascii="PT Astra Serif" w:hAnsi="PT Astra Serif"/>
          <w:sz w:val="22"/>
          <w:szCs w:val="22"/>
        </w:rPr>
        <w:t xml:space="preserve"> Муниципальным заказчиком. </w:t>
      </w:r>
      <w:bookmarkStart w:id="1" w:name="_GoBack"/>
      <w:bookmarkEnd w:id="1"/>
    </w:p>
    <w:p w:rsidR="00E66E25" w:rsidRPr="00997F2E" w:rsidRDefault="00E66E25" w:rsidP="00E66E25">
      <w:pPr>
        <w:spacing w:after="0"/>
        <w:rPr>
          <w:rFonts w:ascii="PT Astra Serif" w:hAnsi="PT Astra Serif"/>
          <w:sz w:val="22"/>
          <w:szCs w:val="22"/>
        </w:rPr>
      </w:pPr>
      <w:r w:rsidRPr="00997F2E">
        <w:rPr>
          <w:rFonts w:ascii="PT Astra Serif" w:hAnsi="PT Astra Serif"/>
          <w:color w:val="000000"/>
          <w:sz w:val="22"/>
          <w:szCs w:val="22"/>
        </w:rPr>
        <w:tab/>
      </w:r>
      <w:r w:rsidRPr="00997F2E">
        <w:rPr>
          <w:rFonts w:ascii="PT Astra Serif" w:hAnsi="PT Astra Serif"/>
          <w:sz w:val="22"/>
          <w:szCs w:val="22"/>
        </w:rPr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997F2E">
        <w:rPr>
          <w:rFonts w:ascii="PT Astra Serif" w:hAnsi="PT Astra Serif"/>
          <w:sz w:val="22"/>
          <w:szCs w:val="22"/>
        </w:rPr>
        <w:t>предоставляется отдельным файлом и является</w:t>
      </w:r>
      <w:proofErr w:type="gramEnd"/>
      <w:r w:rsidRPr="00997F2E">
        <w:rPr>
          <w:rFonts w:ascii="PT Astra Serif" w:hAnsi="PT Astra Serif"/>
          <w:sz w:val="22"/>
          <w:szCs w:val="22"/>
        </w:rPr>
        <w:t xml:space="preserve"> неотъемлемой частью документации об аукционе.</w:t>
      </w:r>
    </w:p>
    <w:p w:rsidR="00E66E25" w:rsidRPr="00997F2E" w:rsidRDefault="00E66E25" w:rsidP="00E66E25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997F2E">
        <w:rPr>
          <w:rFonts w:ascii="PT Astra Serif" w:hAnsi="PT Astra Serif"/>
          <w:sz w:val="22"/>
          <w:szCs w:val="22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E66E25" w:rsidRPr="00997F2E" w:rsidRDefault="00E66E25" w:rsidP="00E66E25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997F2E">
        <w:rPr>
          <w:rFonts w:ascii="PT Astra Serif" w:hAnsi="PT Astra Serif"/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E66E25" w:rsidRPr="00997F2E" w:rsidRDefault="00E66E25" w:rsidP="00E66E25">
      <w:pPr>
        <w:shd w:val="clear" w:color="auto" w:fill="FFFFFF"/>
        <w:spacing w:after="0"/>
        <w:ind w:left="15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97F2E">
        <w:rPr>
          <w:rFonts w:ascii="PT Astra Serif" w:hAnsi="PT Astra Serif"/>
          <w:sz w:val="22"/>
          <w:szCs w:val="22"/>
        </w:rPr>
        <w:tab/>
      </w:r>
      <w:r w:rsidRPr="00997F2E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997F2E">
        <w:rPr>
          <w:rFonts w:ascii="PT Astra Serif" w:eastAsia="Calibri" w:hAnsi="PT Astra Serif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E66E25" w:rsidRPr="00997F2E" w:rsidRDefault="00E66E25" w:rsidP="00E66E25">
      <w:pPr>
        <w:suppressAutoHyphens w:val="0"/>
        <w:spacing w:after="0"/>
        <w:ind w:firstLine="567"/>
        <w:rPr>
          <w:rFonts w:ascii="PT Astra Serif" w:hAnsi="PT Astra Serif"/>
          <w:color w:val="000000"/>
          <w:kern w:val="0"/>
          <w:sz w:val="22"/>
          <w:szCs w:val="22"/>
          <w:lang w:eastAsia="ru-RU"/>
        </w:rPr>
      </w:pPr>
      <w:r w:rsidRPr="00997F2E">
        <w:rPr>
          <w:rFonts w:ascii="PT Astra Serif" w:hAnsi="PT Astra Serif"/>
          <w:color w:val="000000"/>
          <w:kern w:val="0"/>
          <w:sz w:val="22"/>
          <w:szCs w:val="22"/>
          <w:lang w:eastAsia="ru-RU"/>
        </w:rPr>
        <w:t xml:space="preserve"> Выполнение сопутствующих работ (погрузка, разгрузка, вывоз мусора и т.п.) Подрядчиком осуществляется за свой счет. </w:t>
      </w:r>
    </w:p>
    <w:p w:rsidR="00E66E25" w:rsidRPr="00997F2E" w:rsidRDefault="00E66E25" w:rsidP="00E66E25">
      <w:pPr>
        <w:widowControl w:val="0"/>
        <w:tabs>
          <w:tab w:val="left" w:pos="709"/>
        </w:tabs>
        <w:autoSpaceDN w:val="0"/>
        <w:spacing w:after="0"/>
        <w:rPr>
          <w:rFonts w:ascii="PT Astra Serif" w:hAnsi="PT Astra Serif"/>
          <w:sz w:val="22"/>
          <w:szCs w:val="22"/>
        </w:rPr>
      </w:pPr>
      <w:r w:rsidRPr="00997F2E">
        <w:rPr>
          <w:rFonts w:ascii="PT Astra Serif" w:hAnsi="PT Astra Serif"/>
          <w:sz w:val="22"/>
          <w:szCs w:val="22"/>
        </w:rPr>
        <w:tab/>
        <w:t>В случае если по тексту настоящей документации об электронном аукционе, включая приложения к документации в виде отдельных документов (файлов) содержатся указания на товарные знаки в отношении товаров, использование которых осуществляется в ходе исполнения контракта, применительно к таким товарным знакам следует читать «</w:t>
      </w:r>
      <w:r w:rsidRPr="00997F2E">
        <w:rPr>
          <w:rFonts w:ascii="PT Astra Serif" w:hAnsi="PT Astra Serif"/>
          <w:b/>
          <w:sz w:val="22"/>
          <w:szCs w:val="22"/>
        </w:rPr>
        <w:t>или эквивалент</w:t>
      </w:r>
      <w:r w:rsidRPr="00997F2E">
        <w:rPr>
          <w:rFonts w:ascii="PT Astra Serif" w:hAnsi="PT Astra Serif"/>
          <w:sz w:val="22"/>
          <w:szCs w:val="22"/>
        </w:rPr>
        <w:t>».</w:t>
      </w:r>
    </w:p>
    <w:p w:rsidR="00E66E25" w:rsidRPr="00997F2E" w:rsidRDefault="00E66E25" w:rsidP="00E66E25">
      <w:pPr>
        <w:shd w:val="clear" w:color="auto" w:fill="FFFFFF"/>
        <w:spacing w:after="0"/>
        <w:ind w:left="15"/>
        <w:jc w:val="center"/>
        <w:rPr>
          <w:rFonts w:ascii="PT Astra Serif" w:hAnsi="PT Astra Serif"/>
          <w:b/>
          <w:sz w:val="22"/>
          <w:szCs w:val="22"/>
        </w:rPr>
      </w:pPr>
      <w:r w:rsidRPr="00997F2E">
        <w:rPr>
          <w:rFonts w:ascii="PT Astra Serif" w:hAnsi="PT Astra Serif"/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683"/>
        <w:gridCol w:w="5832"/>
        <w:gridCol w:w="2659"/>
      </w:tblGrid>
      <w:tr w:rsidR="006936D2" w:rsidRPr="00997F2E" w:rsidTr="006936D2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6D2" w:rsidRPr="00997F2E" w:rsidRDefault="006936D2" w:rsidP="000A2A86">
            <w:pPr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997F2E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997F2E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п</w:t>
            </w:r>
            <w:proofErr w:type="gramEnd"/>
            <w:r w:rsidRPr="00997F2E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6D2" w:rsidRPr="00997F2E" w:rsidRDefault="006936D2" w:rsidP="000A2A86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997F2E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6936D2" w:rsidRPr="00997F2E" w:rsidRDefault="006936D2" w:rsidP="000A2A86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997F2E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6D2" w:rsidRPr="00997F2E" w:rsidRDefault="006936D2" w:rsidP="000A2A86">
            <w:pPr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997F2E">
              <w:rPr>
                <w:rFonts w:ascii="PT Astra Serif" w:hAnsi="PT Astra Serif"/>
                <w:b/>
                <w:kern w:val="2"/>
                <w:sz w:val="22"/>
                <w:szCs w:val="22"/>
              </w:rPr>
              <w:t xml:space="preserve">Технические показатели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D2" w:rsidRPr="00997F2E" w:rsidRDefault="006936D2" w:rsidP="000A2A86">
            <w:pPr>
              <w:jc w:val="center"/>
              <w:rPr>
                <w:rFonts w:ascii="PT Astra Serif" w:hAnsi="PT Astra Serif"/>
                <w:b/>
                <w:kern w:val="2"/>
                <w:sz w:val="22"/>
                <w:szCs w:val="22"/>
              </w:rPr>
            </w:pPr>
            <w:r w:rsidRPr="00997F2E">
              <w:rPr>
                <w:rFonts w:ascii="PT Astra Serif" w:hAnsi="PT Astra Serif"/>
                <w:b/>
                <w:kern w:val="2"/>
                <w:sz w:val="22"/>
                <w:szCs w:val="22"/>
              </w:rPr>
              <w:t>Страна происхождения</w:t>
            </w:r>
            <w:r w:rsidR="00272598" w:rsidRPr="00997F2E">
              <w:rPr>
                <w:rFonts w:ascii="PT Astra Serif" w:hAnsi="PT Astra Serif"/>
                <w:b/>
                <w:kern w:val="2"/>
                <w:sz w:val="22"/>
                <w:szCs w:val="22"/>
              </w:rPr>
              <w:t xml:space="preserve"> товара</w:t>
            </w:r>
          </w:p>
        </w:tc>
      </w:tr>
      <w:tr w:rsidR="006936D2" w:rsidRPr="00997F2E" w:rsidTr="006936D2">
        <w:trPr>
          <w:trHeight w:val="659"/>
        </w:trPr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6D2" w:rsidRPr="00997F2E" w:rsidRDefault="006936D2" w:rsidP="009A3739">
            <w:pPr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997F2E">
              <w:rPr>
                <w:rFonts w:ascii="PT Astra Serif" w:eastAsia="Calibri" w:hAnsi="PT Astra Serif"/>
                <w:kern w:val="2"/>
                <w:sz w:val="22"/>
                <w:szCs w:val="22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6D2" w:rsidRPr="00997F2E" w:rsidRDefault="006936D2" w:rsidP="009A373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97F2E">
              <w:rPr>
                <w:rFonts w:ascii="PT Astra Serif" w:hAnsi="PT Astra Serif"/>
                <w:sz w:val="22"/>
                <w:szCs w:val="22"/>
              </w:rPr>
              <w:t>Камни бортовые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6D2" w:rsidRPr="00997F2E" w:rsidRDefault="006936D2" w:rsidP="009A3739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997F2E">
              <w:rPr>
                <w:rFonts w:ascii="PT Astra Serif" w:hAnsi="PT Astra Serif"/>
                <w:sz w:val="22"/>
                <w:szCs w:val="22"/>
              </w:rPr>
              <w:t>Камни бортовые бетонные БР 100.30.15, бетон В30 (М400), объем 0,043 м3.</w:t>
            </w:r>
          </w:p>
          <w:p w:rsidR="006936D2" w:rsidRPr="00997F2E" w:rsidRDefault="006936D2" w:rsidP="009A3739">
            <w:pPr>
              <w:spacing w:after="0"/>
              <w:jc w:val="left"/>
              <w:rPr>
                <w:rFonts w:ascii="PT Astra Serif" w:eastAsia="Calibri" w:hAnsi="PT Astra Serif"/>
                <w:sz w:val="22"/>
                <w:szCs w:val="22"/>
              </w:rPr>
            </w:pPr>
            <w:r w:rsidRPr="00997F2E">
              <w:rPr>
                <w:rFonts w:ascii="PT Astra Serif" w:eastAsia="Calibri" w:hAnsi="PT Astra Serif"/>
                <w:sz w:val="22"/>
                <w:szCs w:val="22"/>
              </w:rPr>
              <w:t>В соответствии с ГОСТ 6665-91.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6D2" w:rsidRPr="00997F2E" w:rsidRDefault="00272598" w:rsidP="009A3739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997F2E">
              <w:rPr>
                <w:rFonts w:ascii="PT Astra Serif" w:hAnsi="PT Astra Serif"/>
                <w:sz w:val="22"/>
                <w:szCs w:val="22"/>
              </w:rPr>
              <w:t>Российская Ф</w:t>
            </w:r>
            <w:r w:rsidR="006936D2" w:rsidRPr="00997F2E">
              <w:rPr>
                <w:rFonts w:ascii="PT Astra Serif" w:hAnsi="PT Astra Serif"/>
                <w:sz w:val="22"/>
                <w:szCs w:val="22"/>
              </w:rPr>
              <w:t>едерация</w:t>
            </w:r>
          </w:p>
        </w:tc>
      </w:tr>
    </w:tbl>
    <w:p w:rsidR="00E66E25" w:rsidRPr="00997F2E" w:rsidRDefault="00E66E25" w:rsidP="00E66E25">
      <w:pPr>
        <w:suppressAutoHyphens w:val="0"/>
        <w:spacing w:after="0"/>
        <w:ind w:firstLine="567"/>
        <w:rPr>
          <w:rFonts w:ascii="PT Astra Serif" w:eastAsia="Calibri" w:hAnsi="PT Astra Serif"/>
          <w:kern w:val="0"/>
          <w:sz w:val="22"/>
          <w:szCs w:val="22"/>
          <w:lang w:eastAsia="en-US"/>
        </w:rPr>
      </w:pPr>
    </w:p>
    <w:p w:rsidR="009212FB" w:rsidRPr="00997F2E" w:rsidRDefault="009212FB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eastAsia="Calibri" w:hAnsi="PT Astra Serif"/>
          <w:kern w:val="0"/>
          <w:sz w:val="22"/>
          <w:szCs w:val="22"/>
          <w:lang w:eastAsia="en-US"/>
        </w:rPr>
      </w:pPr>
    </w:p>
    <w:sectPr w:rsidR="009212FB" w:rsidRPr="00997F2E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72598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936D2"/>
    <w:rsid w:val="006939E5"/>
    <w:rsid w:val="00695DDD"/>
    <w:rsid w:val="006D5A31"/>
    <w:rsid w:val="006E5916"/>
    <w:rsid w:val="0074718B"/>
    <w:rsid w:val="00750E78"/>
    <w:rsid w:val="007724B4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95B67"/>
    <w:rsid w:val="00997F2E"/>
    <w:rsid w:val="009A0C7C"/>
    <w:rsid w:val="009A3739"/>
    <w:rsid w:val="009D389F"/>
    <w:rsid w:val="00A2044D"/>
    <w:rsid w:val="00A33E09"/>
    <w:rsid w:val="00A93C10"/>
    <w:rsid w:val="00AA4F6A"/>
    <w:rsid w:val="00AB0535"/>
    <w:rsid w:val="00AB6CA2"/>
    <w:rsid w:val="00B130ED"/>
    <w:rsid w:val="00B725CD"/>
    <w:rsid w:val="00B7607A"/>
    <w:rsid w:val="00B80E50"/>
    <w:rsid w:val="00BC06C2"/>
    <w:rsid w:val="00BD628F"/>
    <w:rsid w:val="00BE64C4"/>
    <w:rsid w:val="00C06714"/>
    <w:rsid w:val="00C3013B"/>
    <w:rsid w:val="00CA0CFE"/>
    <w:rsid w:val="00CE429D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191A"/>
    <w:rsid w:val="00F1769B"/>
    <w:rsid w:val="00F35CF6"/>
    <w:rsid w:val="00FF1B84"/>
    <w:rsid w:val="00FF1E72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1072-508E-409D-9BF4-B7E985B1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20</cp:revision>
  <cp:lastPrinted>2021-04-06T05:06:00Z</cp:lastPrinted>
  <dcterms:created xsi:type="dcterms:W3CDTF">2020-03-17T11:52:00Z</dcterms:created>
  <dcterms:modified xsi:type="dcterms:W3CDTF">2021-04-09T07:36:00Z</dcterms:modified>
</cp:coreProperties>
</file>