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D6" w:rsidRPr="00C414A9" w:rsidRDefault="00152CD6" w:rsidP="00152CD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4A9">
        <w:rPr>
          <w:rFonts w:ascii="Times New Roman" w:hAnsi="Times New Roman" w:cs="Times New Roman"/>
          <w:b/>
          <w:bCs/>
          <w:sz w:val="24"/>
          <w:szCs w:val="24"/>
        </w:rPr>
        <w:t>Техническое задание на оказание услуг</w:t>
      </w:r>
    </w:p>
    <w:p w:rsidR="00152CD6" w:rsidRPr="00C414A9" w:rsidRDefault="00152CD6" w:rsidP="002B773F">
      <w:pPr>
        <w:spacing w:after="0"/>
        <w:ind w:firstLine="567"/>
        <w:rPr>
          <w:lang w:eastAsia="ar-SA"/>
        </w:rPr>
      </w:pPr>
    </w:p>
    <w:p w:rsidR="00152CD6" w:rsidRPr="00C414A9" w:rsidRDefault="00152CD6" w:rsidP="002B773F">
      <w:pPr>
        <w:keepNext/>
        <w:keepLines/>
        <w:widowControl w:val="0"/>
        <w:suppressLineNumbers/>
        <w:suppressAutoHyphens/>
        <w:ind w:firstLine="567"/>
      </w:pPr>
      <w:r w:rsidRPr="00C414A9">
        <w:rPr>
          <w:lang w:eastAsia="ar-SA"/>
        </w:rPr>
        <w:t xml:space="preserve">1. Муниципальный заказчик: </w:t>
      </w:r>
      <w:r w:rsidRPr="00C414A9">
        <w:t>Муниципальное казенное учреждение «Центр материально-технического и информационно-методического обеспечения».</w:t>
      </w:r>
    </w:p>
    <w:p w:rsidR="00152CD6" w:rsidRPr="00C414A9" w:rsidRDefault="00152CD6" w:rsidP="002B773F">
      <w:pPr>
        <w:spacing w:after="0"/>
        <w:ind w:firstLine="567"/>
        <w:rPr>
          <w:bCs/>
        </w:rPr>
      </w:pPr>
      <w:r w:rsidRPr="00C414A9">
        <w:rPr>
          <w:lang w:eastAsia="ar-SA"/>
        </w:rPr>
        <w:t xml:space="preserve">2. Предмет муниципального контракта: </w:t>
      </w:r>
      <w:r w:rsidRPr="00C414A9">
        <w:rPr>
          <w:bCs/>
        </w:rPr>
        <w:t>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</w:r>
    </w:p>
    <w:p w:rsidR="00152CD6" w:rsidRPr="00C414A9" w:rsidRDefault="00152CD6" w:rsidP="002B773F">
      <w:pPr>
        <w:spacing w:after="0"/>
        <w:ind w:firstLine="567"/>
        <w:rPr>
          <w:bCs/>
        </w:rPr>
      </w:pPr>
      <w:r w:rsidRPr="00C414A9">
        <w:rPr>
          <w:bCs/>
        </w:rPr>
        <w:t>3. Обязательные требования к предоставляемым информационным услугам:</w:t>
      </w:r>
    </w:p>
    <w:p w:rsidR="00152CD6" w:rsidRPr="00C414A9" w:rsidRDefault="00152CD6" w:rsidP="002B773F">
      <w:pPr>
        <w:spacing w:after="0"/>
        <w:ind w:firstLine="567"/>
        <w:rPr>
          <w:bCs/>
        </w:rPr>
      </w:pPr>
      <w:r w:rsidRPr="00C414A9">
        <w:rPr>
          <w:bCs/>
        </w:rPr>
        <w:t>-обучение на рабочем месте пользователя работе с электронным справочником;</w:t>
      </w:r>
    </w:p>
    <w:p w:rsidR="00152CD6" w:rsidRPr="00C414A9" w:rsidRDefault="00152CD6" w:rsidP="002B773F">
      <w:pPr>
        <w:spacing w:after="0"/>
        <w:ind w:firstLine="567"/>
        <w:rPr>
          <w:bCs/>
        </w:rPr>
      </w:pPr>
      <w:r w:rsidRPr="00C414A9">
        <w:rPr>
          <w:bCs/>
        </w:rPr>
        <w:t>-информационная и техническая поддержка пользователей по телефону;</w:t>
      </w:r>
    </w:p>
    <w:p w:rsidR="00152CD6" w:rsidRPr="00C414A9" w:rsidRDefault="00152CD6" w:rsidP="002B773F">
      <w:pPr>
        <w:spacing w:after="0"/>
        <w:ind w:firstLine="567"/>
        <w:rPr>
          <w:bCs/>
        </w:rPr>
      </w:pPr>
      <w:r w:rsidRPr="00C414A9">
        <w:rPr>
          <w:bCs/>
        </w:rPr>
        <w:t>-сервисный выезд в течение 1 часа (оперативная помощь пользователю в работе с электронным справочником).</w:t>
      </w:r>
    </w:p>
    <w:p w:rsidR="00152CD6" w:rsidRPr="00C414A9" w:rsidRDefault="00152CD6" w:rsidP="002B773F">
      <w:pPr>
        <w:spacing w:after="0"/>
        <w:ind w:firstLine="567"/>
        <w:rPr>
          <w:lang w:eastAsia="ar-SA"/>
        </w:rPr>
      </w:pPr>
      <w:r w:rsidRPr="00C414A9">
        <w:rPr>
          <w:lang w:eastAsia="ar-SA"/>
        </w:rPr>
        <w:t>3. Перечень услуг:</w:t>
      </w:r>
    </w:p>
    <w:tbl>
      <w:tblPr>
        <w:tblpPr w:leftFromText="180" w:rightFromText="180" w:vertAnchor="text" w:horzAnchor="margin" w:tblpY="12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18"/>
        <w:gridCol w:w="4820"/>
        <w:gridCol w:w="992"/>
        <w:gridCol w:w="850"/>
      </w:tblGrid>
      <w:tr w:rsidR="00C02661" w:rsidRPr="00C414A9" w:rsidTr="00C026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C414A9" w:rsidRDefault="00C02661" w:rsidP="00C02661">
            <w:pPr>
              <w:spacing w:after="0"/>
              <w:contextualSpacing/>
              <w:jc w:val="center"/>
            </w:pPr>
            <w:r w:rsidRPr="00C414A9">
              <w:t xml:space="preserve">№ </w:t>
            </w:r>
            <w:proofErr w:type="gramStart"/>
            <w:r w:rsidRPr="00C414A9">
              <w:t>п</w:t>
            </w:r>
            <w:proofErr w:type="gramEnd"/>
            <w:r w:rsidRPr="00C414A9">
              <w:t>/п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1" w:rsidRPr="00C414A9" w:rsidRDefault="00C02661" w:rsidP="00C02661">
            <w:pPr>
              <w:spacing w:after="0"/>
              <w:contextualSpacing/>
              <w:jc w:val="center"/>
            </w:pPr>
            <w:r w:rsidRPr="00C414A9">
              <w:t>Наименование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1" w:rsidRPr="00C414A9" w:rsidRDefault="00C02661" w:rsidP="00C02661">
            <w:pPr>
              <w:spacing w:after="0"/>
              <w:contextualSpacing/>
              <w:jc w:val="center"/>
            </w:pPr>
            <w:r w:rsidRPr="00C414A9">
              <w:t>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1" w:rsidRPr="00C414A9" w:rsidRDefault="00C02661" w:rsidP="00C02661">
            <w:pPr>
              <w:spacing w:after="0"/>
              <w:contextualSpacing/>
              <w:jc w:val="center"/>
            </w:pPr>
            <w:r w:rsidRPr="00C414A9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1" w:rsidRPr="00C414A9" w:rsidRDefault="00C02661" w:rsidP="00C02661">
            <w:pPr>
              <w:spacing w:after="0"/>
              <w:contextualSpacing/>
              <w:jc w:val="center"/>
            </w:pPr>
            <w:r w:rsidRPr="00C414A9">
              <w:t>Кол-во</w:t>
            </w:r>
            <w:bookmarkStart w:id="0" w:name="_GoBack"/>
            <w:bookmarkEnd w:id="0"/>
          </w:p>
        </w:tc>
      </w:tr>
      <w:tr w:rsidR="00C02661" w:rsidRPr="00C414A9" w:rsidTr="00C02661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C414A9" w:rsidRDefault="00C02661" w:rsidP="00C02661">
            <w:pPr>
              <w:spacing w:after="0"/>
              <w:jc w:val="center"/>
            </w:pPr>
            <w:r w:rsidRPr="00C414A9"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C414A9" w:rsidRDefault="00C02661" w:rsidP="00C02661">
            <w:pPr>
              <w:spacing w:after="0"/>
              <w:rPr>
                <w:bCs/>
              </w:rPr>
            </w:pPr>
            <w:r w:rsidRPr="00C414A9">
              <w:rPr>
                <w:bCs/>
              </w:rPr>
              <w:t>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      </w:r>
          </w:p>
          <w:p w:rsidR="00C02661" w:rsidRPr="00C414A9" w:rsidRDefault="00C02661" w:rsidP="00C02661">
            <w:pPr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b/>
                <w:sz w:val="24"/>
                <w:szCs w:val="24"/>
              </w:rPr>
              <w:t xml:space="preserve">Сопровождение мобильной версии электронно 1 справочно-правовой системы «Гарант-Мастер АЭРО» с обновлением 1 раз в месяц на носителях </w:t>
            </w:r>
            <w:r w:rsidRPr="00C414A9">
              <w:rPr>
                <w:b/>
                <w:sz w:val="24"/>
                <w:szCs w:val="24"/>
                <w:lang w:val="en-US"/>
              </w:rPr>
              <w:t>Flash</w:t>
            </w:r>
            <w:r w:rsidRPr="00C414A9">
              <w:rPr>
                <w:b/>
                <w:sz w:val="24"/>
                <w:szCs w:val="24"/>
              </w:rPr>
              <w:t xml:space="preserve"> </w:t>
            </w:r>
            <w:r w:rsidRPr="00C414A9">
              <w:rPr>
                <w:b/>
                <w:sz w:val="24"/>
                <w:szCs w:val="24"/>
                <w:lang w:val="en-US"/>
              </w:rPr>
              <w:t>Drive</w:t>
            </w:r>
            <w:r w:rsidRPr="00C414A9">
              <w:rPr>
                <w:b/>
                <w:sz w:val="24"/>
                <w:szCs w:val="24"/>
              </w:rPr>
              <w:t xml:space="preserve"> 2.0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Информационные блоки: 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-Законодательство России;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-Законодательство ХМАО-Югры;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-Отраслевое законодательство;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-Большая библиотека бухгалтера и кадрового работника;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-Большая библиотека юриста;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-Энциклопедия решений. Трудовые отношение, кадры;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-Энциклопедия решений. Договоры и иные сделки;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-Энциклопедия решений. </w:t>
            </w:r>
            <w:proofErr w:type="spellStart"/>
            <w:r w:rsidRPr="00C414A9">
              <w:rPr>
                <w:sz w:val="24"/>
                <w:szCs w:val="24"/>
              </w:rPr>
              <w:t>Госзакупки</w:t>
            </w:r>
            <w:proofErr w:type="spellEnd"/>
            <w:r w:rsidRPr="00C414A9">
              <w:rPr>
                <w:sz w:val="24"/>
                <w:szCs w:val="24"/>
              </w:rPr>
              <w:t>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-Энциклопедия </w:t>
            </w:r>
            <w:proofErr w:type="spellStart"/>
            <w:r w:rsidRPr="00C414A9">
              <w:rPr>
                <w:sz w:val="24"/>
                <w:szCs w:val="24"/>
              </w:rPr>
              <w:t>решений</w:t>
            </w:r>
            <w:proofErr w:type="gramStart"/>
            <w:r w:rsidRPr="00C414A9">
              <w:rPr>
                <w:sz w:val="24"/>
                <w:szCs w:val="24"/>
              </w:rPr>
              <w:t>.Г</w:t>
            </w:r>
            <w:proofErr w:type="gramEnd"/>
            <w:r w:rsidRPr="00C414A9">
              <w:rPr>
                <w:sz w:val="24"/>
                <w:szCs w:val="24"/>
              </w:rPr>
              <w:t>оссектор</w:t>
            </w:r>
            <w:proofErr w:type="spellEnd"/>
            <w:r w:rsidRPr="00C414A9">
              <w:rPr>
                <w:sz w:val="24"/>
                <w:szCs w:val="24"/>
              </w:rPr>
              <w:t xml:space="preserve">: учет, отчетность, </w:t>
            </w:r>
            <w:proofErr w:type="spellStart"/>
            <w:r w:rsidRPr="00C414A9">
              <w:rPr>
                <w:sz w:val="24"/>
                <w:szCs w:val="24"/>
              </w:rPr>
              <w:t>финконтроль</w:t>
            </w:r>
            <w:proofErr w:type="spellEnd"/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-Энциклопедия решений. Налоги и взносы;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-Энциклопедия решений. Хозяйственные ситуации.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-Библиотека консультаций. Бюджетные организации.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-Практика высших судебных органов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-Энциклопедия. Законодательство в схемах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-Энциклопедия. Формы правовых документов 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-«Архивы </w:t>
            </w:r>
            <w:proofErr w:type="spellStart"/>
            <w:r w:rsidRPr="00C414A9">
              <w:rPr>
                <w:sz w:val="24"/>
                <w:szCs w:val="24"/>
              </w:rPr>
              <w:t>ГАРАНТа</w:t>
            </w:r>
            <w:proofErr w:type="spellEnd"/>
            <w:r w:rsidRPr="00C414A9">
              <w:rPr>
                <w:sz w:val="24"/>
                <w:szCs w:val="24"/>
              </w:rPr>
              <w:t>-Россия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Архивы </w:t>
            </w:r>
            <w:proofErr w:type="spellStart"/>
            <w:r w:rsidRPr="00C414A9">
              <w:rPr>
                <w:sz w:val="24"/>
                <w:szCs w:val="24"/>
              </w:rPr>
              <w:t>ГАРАНТа</w:t>
            </w:r>
            <w:proofErr w:type="spellEnd"/>
            <w:r w:rsidRPr="00C414A9">
              <w:rPr>
                <w:sz w:val="24"/>
                <w:szCs w:val="24"/>
              </w:rPr>
              <w:t xml:space="preserve"> ХМАО-Югры»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-База знаний службы правового консалтинга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-ГАРАНТ-Консалтинг: нормативные акты и судебная практика 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-2 экспертных заключения в месяц и неограниченное количество устных консультаций 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 xml:space="preserve">-ПРАЙМ 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-Судебная практика: приложение к консультационным блокам;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-Библиотека научных публикаций;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-Большая домашняя правовая энциклопедия;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 Конструктор правовых документов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</w:t>
            </w:r>
            <w:proofErr w:type="gramStart"/>
            <w:r w:rsidRPr="00C414A9">
              <w:rPr>
                <w:sz w:val="24"/>
                <w:szCs w:val="24"/>
              </w:rPr>
              <w:t>Интернет-семинары</w:t>
            </w:r>
            <w:proofErr w:type="gramEnd"/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-Экспресс-проверка контрагентов (10 в месяц)</w:t>
            </w:r>
          </w:p>
          <w:p w:rsidR="00C02661" w:rsidRPr="00C414A9" w:rsidRDefault="00C02661" w:rsidP="00C02661">
            <w:pPr>
              <w:pStyle w:val="31"/>
              <w:snapToGrid w:val="0"/>
              <w:ind w:right="0" w:firstLine="0"/>
              <w:rPr>
                <w:sz w:val="24"/>
                <w:szCs w:val="24"/>
              </w:rPr>
            </w:pPr>
            <w:r w:rsidRPr="00C414A9">
              <w:rPr>
                <w:sz w:val="24"/>
                <w:szCs w:val="24"/>
              </w:rPr>
              <w:t>Сервисные блоки:</w:t>
            </w:r>
          </w:p>
          <w:p w:rsidR="00C02661" w:rsidRPr="00C414A9" w:rsidRDefault="00C02661" w:rsidP="00C02661">
            <w:pPr>
              <w:spacing w:after="0"/>
            </w:pPr>
            <w:r w:rsidRPr="00C414A9">
              <w:t>- Предоставление информации в рамках «Горячей линии»</w:t>
            </w:r>
          </w:p>
          <w:p w:rsidR="00C02661" w:rsidRPr="00C414A9" w:rsidRDefault="00C02661" w:rsidP="00C02661">
            <w:pPr>
              <w:spacing w:after="0"/>
            </w:pPr>
            <w:r w:rsidRPr="00C414A9">
              <w:t>-Бесплатное обучение пользователей работе с системой «Гарант».</w:t>
            </w:r>
          </w:p>
          <w:p w:rsidR="00C02661" w:rsidRPr="00C414A9" w:rsidRDefault="00C02661" w:rsidP="00C02661">
            <w:pPr>
              <w:spacing w:after="0"/>
              <w:jc w:val="left"/>
              <w:rPr>
                <w:spacing w:val="-2"/>
              </w:rPr>
            </w:pPr>
            <w:r w:rsidRPr="00C414A9">
              <w:t>-Бесплатный сервисный выезд, в течение 1 часа.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C414A9" w:rsidRDefault="00C02661" w:rsidP="00C02661">
            <w:pPr>
              <w:spacing w:after="0"/>
              <w:jc w:val="center"/>
              <w:rPr>
                <w:spacing w:val="-2"/>
              </w:rPr>
            </w:pPr>
            <w:r w:rsidRPr="00C414A9">
              <w:rPr>
                <w:spacing w:val="-2"/>
              </w:rPr>
              <w:t>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C414A9" w:rsidRDefault="00C02661" w:rsidP="00C02661">
            <w:pPr>
              <w:spacing w:after="0"/>
              <w:jc w:val="center"/>
            </w:pPr>
            <w:r>
              <w:t>12</w:t>
            </w:r>
          </w:p>
        </w:tc>
      </w:tr>
    </w:tbl>
    <w:p w:rsidR="00152CD6" w:rsidRPr="00C414A9" w:rsidRDefault="00152CD6" w:rsidP="002B773F">
      <w:pPr>
        <w:spacing w:after="0"/>
        <w:ind w:firstLine="567"/>
        <w:rPr>
          <w:lang w:eastAsia="ar-SA"/>
        </w:rPr>
      </w:pPr>
    </w:p>
    <w:p w:rsidR="00152CD6" w:rsidRPr="00C414A9" w:rsidRDefault="00152CD6" w:rsidP="00152CD6">
      <w:pPr>
        <w:spacing w:after="0"/>
        <w:ind w:firstLine="709"/>
        <w:rPr>
          <w:b/>
        </w:rPr>
      </w:pPr>
      <w:r w:rsidRPr="00C414A9">
        <w:rPr>
          <w:lang w:eastAsia="ar-SA"/>
        </w:rPr>
        <w:t xml:space="preserve">           </w:t>
      </w:r>
    </w:p>
    <w:p w:rsidR="00152CD6" w:rsidRPr="00C414A9" w:rsidRDefault="00152CD6" w:rsidP="00152CD6">
      <w:pPr>
        <w:spacing w:after="0"/>
        <w:ind w:firstLine="709"/>
        <w:rPr>
          <w:b/>
        </w:rPr>
      </w:pPr>
    </w:p>
    <w:sectPr w:rsidR="00152CD6" w:rsidRPr="00C4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70"/>
    <w:rsid w:val="00142670"/>
    <w:rsid w:val="00152CD6"/>
    <w:rsid w:val="002B773F"/>
    <w:rsid w:val="004D437C"/>
    <w:rsid w:val="00933370"/>
    <w:rsid w:val="00C0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52CD6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B77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52CD6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B77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group1</cp:lastModifiedBy>
  <cp:revision>4</cp:revision>
  <cp:lastPrinted>2019-11-26T06:34:00Z</cp:lastPrinted>
  <dcterms:created xsi:type="dcterms:W3CDTF">2019-11-26T06:14:00Z</dcterms:created>
  <dcterms:modified xsi:type="dcterms:W3CDTF">2019-11-26T06:35:00Z</dcterms:modified>
</cp:coreProperties>
</file>