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705EED" w:rsidRDefault="00656ADD" w:rsidP="00397669">
      <w:pPr>
        <w:pStyle w:val="ConsPlusNormal"/>
        <w:widowControl/>
        <w:tabs>
          <w:tab w:val="left" w:pos="284"/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A762D8" w:rsidRPr="00705EED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A762D8" w:rsidRPr="00705EED" w:rsidRDefault="00A762D8" w:rsidP="00A762D8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6F1FFD" w:rsidRPr="00705EED" w:rsidRDefault="006F1FFD" w:rsidP="006F1FFD">
      <w:pPr>
        <w:ind w:left="360"/>
        <w:rPr>
          <w:rFonts w:ascii="PT Astra Serif" w:hAnsi="PT Astra Serif"/>
          <w:b/>
        </w:rPr>
      </w:pPr>
      <w:bookmarkStart w:id="3" w:name="_Ref353189530"/>
      <w:r w:rsidRPr="00705EED"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 w:rsidRPr="00705EED">
        <w:rPr>
          <w:rFonts w:ascii="PT Astra Serif" w:hAnsi="PT Astra Serif"/>
        </w:rPr>
        <w:t xml:space="preserve"> </w:t>
      </w:r>
      <w:r w:rsidRPr="00705EED"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6F1FFD" w:rsidRPr="00705EED" w:rsidRDefault="006F1FFD" w:rsidP="008A316D">
      <w:pPr>
        <w:tabs>
          <w:tab w:val="left" w:pos="0"/>
        </w:tabs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            1. Муниципальный заказчик: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Департамент муниципальной собственности и градостроительства администрации города Югорска.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2. Срок оказания услуг:</w:t>
      </w:r>
      <w:r w:rsidRPr="00705EED">
        <w:rPr>
          <w:rFonts w:ascii="PT Astra Serif" w:hAnsi="PT Astra Serif"/>
        </w:rPr>
        <w:t xml:space="preserve"> </w:t>
      </w:r>
    </w:p>
    <w:p w:rsidR="006F1FFD" w:rsidRPr="00705EED" w:rsidRDefault="00452A81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</w:t>
      </w:r>
      <w:r w:rsidR="006F1FFD" w:rsidRPr="00705EED">
        <w:rPr>
          <w:rFonts w:ascii="PT Astra Serif" w:hAnsi="PT Astra Serif"/>
        </w:rPr>
        <w:t>С момента подписания муниципального контракта по 01 декабря 202</w:t>
      </w:r>
      <w:r w:rsidR="00BD7C6A" w:rsidRPr="00705EED">
        <w:rPr>
          <w:rFonts w:ascii="PT Astra Serif" w:hAnsi="PT Astra Serif"/>
        </w:rPr>
        <w:t>1</w:t>
      </w:r>
      <w:r w:rsidR="006F1FFD" w:rsidRPr="00705EED">
        <w:rPr>
          <w:rFonts w:ascii="PT Astra Serif" w:hAnsi="PT Astra Serif"/>
        </w:rPr>
        <w:t xml:space="preserve"> года: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- подготовка межевого плана земельного участка в течение </w:t>
      </w:r>
      <w:r w:rsidR="00E5194D">
        <w:rPr>
          <w:rFonts w:ascii="PT Astra Serif" w:hAnsi="PT Astra Serif"/>
        </w:rPr>
        <w:t>9</w:t>
      </w:r>
      <w:bookmarkStart w:id="4" w:name="_GoBack"/>
      <w:bookmarkEnd w:id="4"/>
      <w:r w:rsidRPr="00705EED">
        <w:rPr>
          <w:rFonts w:ascii="PT Astra Serif" w:hAnsi="PT Astra Serif"/>
        </w:rPr>
        <w:t xml:space="preserve">0 дней с момента </w:t>
      </w:r>
      <w:r w:rsidR="00E5194D">
        <w:rPr>
          <w:rFonts w:ascii="PT Astra Serif" w:hAnsi="PT Astra Serif"/>
        </w:rPr>
        <w:t>направления заявки от Заказчика.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3. Место оказания услуг:</w:t>
      </w:r>
      <w:r w:rsidRPr="00705EED">
        <w:rPr>
          <w:rFonts w:ascii="PT Astra Serif" w:hAnsi="PT Astra Serif"/>
        </w:rPr>
        <w:t xml:space="preserve">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4. Место предоставления отчетных документов: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5. Объем и состав оказываемых услуг:</w:t>
      </w:r>
      <w:r w:rsidRPr="00705EED">
        <w:rPr>
          <w:rFonts w:ascii="PT Astra Serif" w:hAnsi="PT Astra Serif"/>
        </w:rPr>
        <w:t xml:space="preserve"> </w:t>
      </w:r>
    </w:p>
    <w:p w:rsidR="001F4C48" w:rsidRDefault="00F774DD" w:rsidP="00F774DD">
      <w:pPr>
        <w:pStyle w:val="af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Pr="00F774DD">
        <w:rPr>
          <w:rFonts w:ascii="PT Astra Serif" w:hAnsi="PT Astra Serif"/>
        </w:rPr>
        <w:t xml:space="preserve">Оказание услуг по межеванию, для постановки на государственный кадастровый учет, </w:t>
      </w:r>
      <w:r w:rsidR="001F4C48">
        <w:rPr>
          <w:rFonts w:ascii="PT Astra Serif" w:hAnsi="PT Astra Serif"/>
        </w:rPr>
        <w:t xml:space="preserve"> </w:t>
      </w:r>
      <w:r w:rsidRPr="00F774DD">
        <w:rPr>
          <w:rFonts w:ascii="PT Astra Serif" w:hAnsi="PT Astra Serif"/>
        </w:rPr>
        <w:t xml:space="preserve">земельного </w:t>
      </w:r>
      <w:r w:rsidR="001F4C48">
        <w:rPr>
          <w:rFonts w:ascii="PT Astra Serif" w:hAnsi="PT Astra Serif"/>
        </w:rPr>
        <w:t xml:space="preserve">  </w:t>
      </w:r>
      <w:r w:rsidRPr="00F774DD">
        <w:rPr>
          <w:rFonts w:ascii="PT Astra Serif" w:hAnsi="PT Astra Serif"/>
        </w:rPr>
        <w:t xml:space="preserve">участка </w:t>
      </w:r>
      <w:r w:rsidR="001F4C48">
        <w:rPr>
          <w:rFonts w:ascii="PT Astra Serif" w:hAnsi="PT Astra Serif"/>
        </w:rPr>
        <w:t xml:space="preserve">  </w:t>
      </w:r>
      <w:r w:rsidRPr="00F774DD">
        <w:rPr>
          <w:rFonts w:ascii="PT Astra Serif" w:hAnsi="PT Astra Serif"/>
        </w:rPr>
        <w:t xml:space="preserve">общего пользования </w:t>
      </w:r>
      <w:r w:rsidR="001F4C48">
        <w:rPr>
          <w:rFonts w:ascii="PT Astra Serif" w:hAnsi="PT Astra Serif"/>
        </w:rPr>
        <w:t xml:space="preserve"> </w:t>
      </w:r>
      <w:r w:rsidRPr="00F774DD">
        <w:rPr>
          <w:rFonts w:ascii="PT Astra Serif" w:hAnsi="PT Astra Serif"/>
        </w:rPr>
        <w:t xml:space="preserve">ориентировочной </w:t>
      </w:r>
      <w:r w:rsidR="001F4C48">
        <w:rPr>
          <w:rFonts w:ascii="PT Astra Serif" w:hAnsi="PT Astra Serif"/>
        </w:rPr>
        <w:t xml:space="preserve"> </w:t>
      </w:r>
      <w:r w:rsidRPr="00F774DD">
        <w:rPr>
          <w:rFonts w:ascii="PT Astra Serif" w:hAnsi="PT Astra Serif"/>
        </w:rPr>
        <w:t>площадью</w:t>
      </w:r>
      <w:r w:rsidR="001F4C48">
        <w:rPr>
          <w:rFonts w:ascii="PT Astra Serif" w:hAnsi="PT Astra Serif"/>
        </w:rPr>
        <w:t xml:space="preserve"> </w:t>
      </w:r>
      <w:r w:rsidRPr="00F774DD">
        <w:rPr>
          <w:rFonts w:ascii="PT Astra Serif" w:hAnsi="PT Astra Serif"/>
        </w:rPr>
        <w:t xml:space="preserve"> </w:t>
      </w:r>
      <w:r w:rsidR="001F4C48">
        <w:rPr>
          <w:rFonts w:ascii="PT Astra Serif" w:hAnsi="PT Astra Serif"/>
        </w:rPr>
        <w:t>89437</w:t>
      </w:r>
      <w:r w:rsidRPr="00F774DD">
        <w:rPr>
          <w:rFonts w:ascii="PT Astra Serif" w:hAnsi="PT Astra Serif"/>
        </w:rPr>
        <w:t xml:space="preserve"> </w:t>
      </w:r>
    </w:p>
    <w:p w:rsidR="001F4C48" w:rsidRDefault="00F774DD" w:rsidP="00F774DD">
      <w:pPr>
        <w:pStyle w:val="af7"/>
        <w:rPr>
          <w:rFonts w:ascii="PT Astra Serif" w:hAnsi="PT Astra Serif"/>
        </w:rPr>
      </w:pPr>
      <w:r w:rsidRPr="00F774DD">
        <w:rPr>
          <w:rFonts w:ascii="PT Astra Serif" w:hAnsi="PT Astra Serif"/>
        </w:rPr>
        <w:t>кв. метр</w:t>
      </w:r>
      <w:r w:rsidR="001F4C48">
        <w:rPr>
          <w:rFonts w:ascii="PT Astra Serif" w:hAnsi="PT Astra Serif"/>
        </w:rPr>
        <w:t>ов</w:t>
      </w:r>
      <w:r w:rsidRPr="00F774DD">
        <w:rPr>
          <w:rFonts w:ascii="PT Astra Serif" w:hAnsi="PT Astra Serif"/>
        </w:rPr>
        <w:t xml:space="preserve">, для размещения </w:t>
      </w:r>
      <w:r w:rsidR="001F4C48">
        <w:rPr>
          <w:rFonts w:ascii="PT Astra Serif" w:hAnsi="PT Astra Serif"/>
        </w:rPr>
        <w:t>садоводческого некоммерческого товарищества собственников недвижимости</w:t>
      </w:r>
      <w:r w:rsidRPr="00F774DD">
        <w:rPr>
          <w:rFonts w:ascii="PT Astra Serif" w:hAnsi="PT Astra Serif"/>
        </w:rPr>
        <w:t xml:space="preserve"> «</w:t>
      </w:r>
      <w:r w:rsidR="001F4C48">
        <w:rPr>
          <w:rFonts w:ascii="PT Astra Serif" w:hAnsi="PT Astra Serif"/>
        </w:rPr>
        <w:t>Озерное</w:t>
      </w:r>
      <w:r w:rsidRPr="00F774DD">
        <w:rPr>
          <w:rFonts w:ascii="PT Astra Serif" w:hAnsi="PT Astra Serif"/>
        </w:rPr>
        <w:t>»</w:t>
      </w:r>
      <w:r w:rsidR="00E26425">
        <w:rPr>
          <w:rFonts w:ascii="PT Astra Serif" w:hAnsi="PT Astra Serif"/>
        </w:rPr>
        <w:t>, расположенного по адресу : Ханты-Мансийский автономный округ-Югра, город Югорск, ул. Арантурская 60</w:t>
      </w:r>
      <w:r w:rsidRPr="00F774DD">
        <w:rPr>
          <w:rFonts w:ascii="PT Astra Serif" w:hAnsi="PT Astra Serif"/>
        </w:rPr>
        <w:t xml:space="preserve">.   </w:t>
      </w:r>
    </w:p>
    <w:p w:rsidR="00F774DD" w:rsidRPr="00F774DD" w:rsidRDefault="001F4C48" w:rsidP="00F774DD">
      <w:pPr>
        <w:pStyle w:val="af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F774DD" w:rsidRPr="00F774DD">
        <w:rPr>
          <w:rFonts w:ascii="PT Astra Serif" w:hAnsi="PT Astra Serif"/>
        </w:rPr>
        <w:t xml:space="preserve">  Услуги включают в себя:</w:t>
      </w:r>
    </w:p>
    <w:p w:rsidR="00F774DD" w:rsidRPr="00F774DD" w:rsidRDefault="00F774DD" w:rsidP="00F774DD">
      <w:pPr>
        <w:pStyle w:val="af7"/>
        <w:rPr>
          <w:rFonts w:ascii="PT Astra Serif" w:hAnsi="PT Astra Serif"/>
        </w:rPr>
      </w:pPr>
      <w:r w:rsidRPr="00F774DD">
        <w:rPr>
          <w:rFonts w:ascii="PT Astra Serif" w:hAnsi="PT Astra Serif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F774DD" w:rsidRPr="00F774DD" w:rsidRDefault="00F774DD" w:rsidP="00F774DD">
      <w:pPr>
        <w:pStyle w:val="af7"/>
        <w:rPr>
          <w:rFonts w:ascii="PT Astra Serif" w:hAnsi="PT Astra Serif"/>
        </w:rPr>
      </w:pPr>
      <w:r w:rsidRPr="00F774DD">
        <w:rPr>
          <w:rFonts w:ascii="PT Astra Serif" w:hAnsi="PT Astra Serif"/>
        </w:rPr>
        <w:t>2. Согласование местоположение границ земельного участка со смежными землепользователями и всеми заинтересованными лицами.</w:t>
      </w:r>
    </w:p>
    <w:p w:rsidR="00F774DD" w:rsidRDefault="00F774DD" w:rsidP="00F774DD">
      <w:pPr>
        <w:pStyle w:val="af7"/>
        <w:rPr>
          <w:rFonts w:ascii="PT Astra Serif" w:hAnsi="PT Astra Serif"/>
        </w:rPr>
      </w:pPr>
      <w:r w:rsidRPr="00F774DD">
        <w:rPr>
          <w:rFonts w:ascii="PT Astra Serif" w:hAnsi="PT Astra Serif"/>
        </w:rPr>
        <w:t>3. Подготовка пакета документов для постановки земельного участка на государственный кадастровый учет, в т.ч. межевого плана, сопровождение процедуры постановки государственного кадастрового учета.</w:t>
      </w:r>
    </w:p>
    <w:p w:rsidR="006F1FFD" w:rsidRPr="00705EED" w:rsidRDefault="006F1FFD" w:rsidP="00F774DD">
      <w:pPr>
        <w:pStyle w:val="af7"/>
        <w:rPr>
          <w:rFonts w:ascii="PT Astra Serif" w:hAnsi="PT Astra Serif"/>
          <w:b/>
          <w:bCs/>
          <w:kern w:val="28"/>
        </w:rPr>
      </w:pPr>
      <w:r w:rsidRPr="00705EED"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6F1FFD" w:rsidRPr="00705EED" w:rsidRDefault="00BC5728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snapToGrid w:val="0"/>
        </w:rPr>
        <w:t xml:space="preserve">    </w:t>
      </w:r>
      <w:r w:rsidR="006F1FFD" w:rsidRPr="00705EED">
        <w:rPr>
          <w:rFonts w:ascii="PT Astra Serif" w:hAnsi="PT Astra Serif"/>
          <w:snapToGrid w:val="0"/>
        </w:rPr>
        <w:t>Услуги оказываются в соответствии</w:t>
      </w:r>
      <w:r w:rsidR="006F1FFD" w:rsidRPr="00705EED">
        <w:rPr>
          <w:rFonts w:ascii="PT Astra Serif" w:hAnsi="PT Astra Serif"/>
        </w:rPr>
        <w:t xml:space="preserve"> со следующими нормативно-правовыми актами: 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Земельный кодекс Российской Федерации от 25.10.2001 № 136- ФЗ;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Федеральный закон от 13.07.2015 № 218-ФЗ «О государственной регистрации недвижимости»;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Федеральный закон от 18.06.2001 № 78-ФЗ «О землеустройстве»;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 w:rsidRPr="00705EED">
        <w:rPr>
          <w:rFonts w:ascii="PT Astra Serif" w:hAnsi="PT Astra Serif"/>
        </w:rP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Приказ Минэкономразвития России от 18.12.2015 № 953 «Об утверждении формы и формы технического плана, требований к его подготовке, состава содержащихся в нем сведений, а также формы декларации об объекте недвижимости, и требований к ее подготовке, состава содержащихся в ней сведений»;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Письмо минэкономразвития РФ от 27.03.2009 № 4448-ИМ/Д23 «Об устранении несоответствий в местоположении границ земельных участков»;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СНиП 11-02-96 «Инженерные изыскания для строительства. Основные положения»;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- СП 11-104-97 «Инженерно-геодезические изыскания для строительства» </w:t>
      </w:r>
    </w:p>
    <w:p w:rsidR="006F1FFD" w:rsidRPr="00705EED" w:rsidRDefault="00BC5728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lastRenderedPageBreak/>
        <w:t xml:space="preserve">       </w:t>
      </w:r>
      <w:r w:rsidR="006F1FFD" w:rsidRPr="00705EED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6F1FFD" w:rsidRPr="00705EED" w:rsidRDefault="006F1FFD" w:rsidP="006F1FFD">
      <w:pPr>
        <w:pStyle w:val="af7"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7. Результат оказанных услуг:  </w:t>
      </w:r>
    </w:p>
    <w:p w:rsidR="006F1FFD" w:rsidRPr="00705EED" w:rsidRDefault="006F1FFD" w:rsidP="006F1FFD">
      <w:pPr>
        <w:ind w:left="709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  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</w:t>
      </w:r>
      <w:r w:rsidR="001F4C48">
        <w:rPr>
          <w:rFonts w:ascii="PT Astra Serif" w:hAnsi="PT Astra Serif"/>
        </w:rPr>
        <w:t>ителе по требованию Заказчика)).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Первый заместитель главы города –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директор Департамента  муниципальной </w:t>
      </w:r>
    </w:p>
    <w:p w:rsidR="006F1FFD" w:rsidRPr="00705EED" w:rsidRDefault="008B2D5E" w:rsidP="006F1FFD">
      <w:pPr>
        <w:pStyle w:val="af7"/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собственности и </w:t>
      </w:r>
      <w:r w:rsidR="006F1FFD" w:rsidRPr="00705EED">
        <w:rPr>
          <w:rFonts w:ascii="PT Astra Serif" w:hAnsi="PT Astra Serif"/>
          <w:b/>
        </w:rPr>
        <w:t>градостроительства                                                          С.Д. Голин</w:t>
      </w:r>
      <w:r w:rsidR="006F1FFD" w:rsidRPr="00705EED">
        <w:rPr>
          <w:rFonts w:ascii="PT Astra Serif" w:hAnsi="PT Astra Serif"/>
        </w:rPr>
        <w:t xml:space="preserve"> </w:t>
      </w:r>
    </w:p>
    <w:p w:rsidR="006F1FFD" w:rsidRPr="00705EED" w:rsidRDefault="006F1FFD" w:rsidP="006F1FFD">
      <w:pPr>
        <w:pStyle w:val="ConsPlusNormal"/>
        <w:widowControl/>
        <w:ind w:left="720" w:firstLine="0"/>
        <w:rPr>
          <w:rFonts w:ascii="PT Astra Serif" w:hAnsi="PT Astra Serif" w:cs="Times New Roman"/>
          <w:sz w:val="24"/>
          <w:szCs w:val="24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2"/>
    <w:bookmarkEnd w:id="3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DC" w:rsidRDefault="009250DC" w:rsidP="00A762D8">
      <w:pPr>
        <w:spacing w:after="0"/>
      </w:pPr>
      <w:r>
        <w:separator/>
      </w:r>
    </w:p>
  </w:endnote>
  <w:endnote w:type="continuationSeparator" w:id="0">
    <w:p w:rsidR="009250DC" w:rsidRDefault="009250D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DC" w:rsidRDefault="009250DC" w:rsidP="00A762D8">
      <w:pPr>
        <w:spacing w:after="0"/>
      </w:pPr>
      <w:r>
        <w:separator/>
      </w:r>
    </w:p>
  </w:footnote>
  <w:footnote w:type="continuationSeparator" w:id="0">
    <w:p w:rsidR="009250DC" w:rsidRDefault="009250D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E5896"/>
    <w:rsid w:val="001F4C48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84FF8"/>
    <w:rsid w:val="00386737"/>
    <w:rsid w:val="00397669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E38C0"/>
    <w:rsid w:val="00800984"/>
    <w:rsid w:val="0082432B"/>
    <w:rsid w:val="0085406B"/>
    <w:rsid w:val="008665B7"/>
    <w:rsid w:val="00872F65"/>
    <w:rsid w:val="00890665"/>
    <w:rsid w:val="008A288A"/>
    <w:rsid w:val="008A316D"/>
    <w:rsid w:val="008B2D5E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26425"/>
    <w:rsid w:val="00E5194D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774DD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6B0C-BA82-4315-986F-F2C02F95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45</cp:revision>
  <cp:lastPrinted>2021-02-26T04:43:00Z</cp:lastPrinted>
  <dcterms:created xsi:type="dcterms:W3CDTF">2020-01-21T11:59:00Z</dcterms:created>
  <dcterms:modified xsi:type="dcterms:W3CDTF">2021-03-03T07:01:00Z</dcterms:modified>
</cp:coreProperties>
</file>