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01" w:rsidRDefault="00FE5A01" w:rsidP="00FE5A01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E5A01" w:rsidRDefault="00FE5A01" w:rsidP="00FE5A0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E5A01" w:rsidRDefault="00FE5A01" w:rsidP="00FE5A0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E5A01" w:rsidRDefault="00FE5A01" w:rsidP="00FE5A0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E5A01" w:rsidRDefault="00FE5A01" w:rsidP="00FE5A01">
      <w:pPr>
        <w:rPr>
          <w:sz w:val="24"/>
          <w:szCs w:val="24"/>
        </w:rPr>
      </w:pPr>
      <w:r>
        <w:rPr>
          <w:sz w:val="24"/>
          <w:szCs w:val="24"/>
        </w:rPr>
        <w:t xml:space="preserve">24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423-3</w:t>
      </w:r>
    </w:p>
    <w:p w:rsidR="00FE5A01" w:rsidRDefault="00FE5A01" w:rsidP="00FE5A0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FE5A01" w:rsidRDefault="00FE5A01" w:rsidP="00FE5A01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FE5A01" w:rsidRDefault="00FE5A01" w:rsidP="00FE5A0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E5A01" w:rsidRDefault="00FE5A01" w:rsidP="00FE5A01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FE5A01" w:rsidRDefault="00FE5A01" w:rsidP="00FE5A0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E5A01" w:rsidRDefault="00FE5A01" w:rsidP="00FE5A0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E5A01" w:rsidRDefault="00FE5A01" w:rsidP="00FE5A0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E5A01" w:rsidRDefault="00FE5A01" w:rsidP="00FE5A01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FE5A01" w:rsidRPr="00BA1F47" w:rsidRDefault="00FE5A01" w:rsidP="00BA1F47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</w:t>
      </w:r>
      <w:r w:rsidRPr="00BA1F47">
        <w:rPr>
          <w:spacing w:val="-6"/>
          <w:sz w:val="24"/>
          <w:szCs w:val="24"/>
        </w:rPr>
        <w:t xml:space="preserve">и проектного управления администрации города </w:t>
      </w:r>
      <w:proofErr w:type="spellStart"/>
      <w:r w:rsidRPr="00BA1F47">
        <w:rPr>
          <w:spacing w:val="-6"/>
          <w:sz w:val="24"/>
          <w:szCs w:val="24"/>
        </w:rPr>
        <w:t>Югорска</w:t>
      </w:r>
      <w:proofErr w:type="spellEnd"/>
      <w:r w:rsidRPr="00BA1F47">
        <w:rPr>
          <w:spacing w:val="-6"/>
          <w:sz w:val="24"/>
          <w:szCs w:val="24"/>
        </w:rPr>
        <w:t>.</w:t>
      </w:r>
    </w:p>
    <w:p w:rsidR="00FE5A01" w:rsidRDefault="00FE5A01" w:rsidP="00FE5A01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FE5A01" w:rsidRDefault="00FE5A01" w:rsidP="00FE5A01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 бюджетного  общеобразовательного учреждения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</w:t>
      </w:r>
    </w:p>
    <w:p w:rsidR="00FE5A01" w:rsidRDefault="00FE5A01" w:rsidP="00FE5A01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0187300005820000423 </w:t>
      </w:r>
      <w:r>
        <w:rPr>
          <w:rFonts w:ascii="PT Astra Serif" w:hAnsi="PT Astra Serif"/>
          <w:bCs/>
          <w:sz w:val="24"/>
          <w:szCs w:val="24"/>
        </w:rPr>
        <w:t xml:space="preserve">на право заключения гражданско-правового договора на </w:t>
      </w:r>
      <w:r>
        <w:rPr>
          <w:rFonts w:ascii="PT Astra Serif" w:hAnsi="PT Astra Serif"/>
          <w:sz w:val="24"/>
          <w:szCs w:val="24"/>
        </w:rPr>
        <w:t>поставку продуктов питания (сыр).</w:t>
      </w:r>
    </w:p>
    <w:p w:rsidR="00FE5A01" w:rsidRDefault="00FE5A01" w:rsidP="00FE5A0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0187300005820000423. </w:t>
      </w:r>
    </w:p>
    <w:p w:rsidR="00FE5A01" w:rsidRDefault="00FE5A01" w:rsidP="00FE5A0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203862200262586220100101440011051244.</w:t>
      </w:r>
    </w:p>
    <w:p w:rsidR="00FE5A01" w:rsidRDefault="00FE5A01" w:rsidP="00FE5A01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Югорск,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FE5A01" w:rsidRDefault="00FE5A01" w:rsidP="00FE5A0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22 декабря 2020 года, по адресу: ул. 40 лет Победы, 11, г. Югорск, Ханты-Мансийский  автономный  округ-Югра, Тюменская область.</w:t>
      </w:r>
    </w:p>
    <w:p w:rsidR="00FE5A01" w:rsidRDefault="00FE5A01" w:rsidP="00FE5A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23.12.2020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FE5A01" w:rsidTr="00793F4C">
        <w:trPr>
          <w:cantSplit/>
          <w:trHeight w:val="1240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FE5A01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FE5A01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FE5A01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FE5A01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E5A01" w:rsidTr="00FE5A0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FE5A01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Pr="00793F4C" w:rsidRDefault="00793F4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93F4C">
              <w:rPr>
                <w:rFonts w:eastAsia="Calibri"/>
                <w:color w:val="000000"/>
                <w:sz w:val="24"/>
                <w:lang w:eastAsia="en-US"/>
              </w:rPr>
              <w:t>184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"РЕГИОНСНАБ"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63746.10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6658536271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665801001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620131,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КРАУЛЯ, ДОМ 76</w:t>
                  </w:r>
                </w:p>
              </w:tc>
            </w:tr>
          </w:tbl>
          <w:p w:rsidR="00FE5A01" w:rsidRDefault="00FE5A0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793F4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63746.10</w:t>
            </w:r>
          </w:p>
        </w:tc>
      </w:tr>
      <w:tr w:rsidR="00FE5A01" w:rsidTr="00FE5A0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FE5A01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Pr="00793F4C" w:rsidRDefault="00793F4C" w:rsidP="00793F4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93F4C">
              <w:rPr>
                <w:rFonts w:eastAsia="Calibri"/>
                <w:color w:val="000000"/>
                <w:sz w:val="24"/>
                <w:lang w:eastAsia="en-US"/>
              </w:rPr>
              <w:t>59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 xml:space="preserve"> ИП УСТИНОВ ЮРИЙ НИКОЛАЕВИЧ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64211.40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550701839375</w:t>
                  </w:r>
                </w:p>
              </w:tc>
            </w:tr>
          </w:tbl>
          <w:p w:rsidR="00FE5A01" w:rsidRDefault="00FE5A0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793F4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64211.40</w:t>
            </w:r>
          </w:p>
        </w:tc>
      </w:tr>
      <w:tr w:rsidR="00FE5A01" w:rsidTr="00FE5A0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FE5A01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Pr="00793F4C" w:rsidRDefault="00793F4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93F4C">
              <w:rPr>
                <w:rFonts w:eastAsia="Calibri"/>
                <w:color w:val="000000"/>
                <w:sz w:val="24"/>
                <w:lang w:eastAsia="en-US"/>
              </w:rPr>
              <w:t>68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80962.20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8622014099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667901001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620010,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ЧЕРНЯХОВСКОГО, СТРОЕНИЕ 68, ОФИС 219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628240, ХМАО-Югра,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.С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>оветский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ул.Трассовиков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>, строение 1</w:t>
                  </w:r>
                </w:p>
              </w:tc>
            </w:tr>
            <w:tr w:rsid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79122413606</w:t>
                  </w:r>
                </w:p>
              </w:tc>
            </w:tr>
          </w:tbl>
          <w:p w:rsidR="00FE5A01" w:rsidRDefault="00FE5A0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5A01" w:rsidRDefault="00793F4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80962.20</w:t>
            </w:r>
          </w:p>
        </w:tc>
      </w:tr>
      <w:tr w:rsidR="00793F4C" w:rsidTr="00FE5A0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4C" w:rsidRDefault="00793F4C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4C" w:rsidRPr="00793F4C" w:rsidRDefault="00793F4C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793F4C">
              <w:rPr>
                <w:rFonts w:eastAsia="Calibri"/>
                <w:color w:val="000000"/>
                <w:sz w:val="24"/>
                <w:lang w:eastAsia="en-US"/>
              </w:rPr>
              <w:t>74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4"/>
              <w:gridCol w:w="4701"/>
            </w:tblGrid>
            <w:tr w:rsidR="00793F4C" w:rsidT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793F4C" w:rsidT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92594.70</w:t>
                  </w:r>
                </w:p>
              </w:tc>
            </w:tr>
            <w:tr w:rsidR="00793F4C" w:rsidT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6659198924</w:t>
                  </w:r>
                </w:p>
              </w:tc>
            </w:tr>
            <w:tr w:rsidR="00793F4C" w:rsidT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667801001</w:t>
                  </w:r>
                </w:p>
              </w:tc>
            </w:tr>
            <w:tr w:rsidR="00793F4C" w:rsidT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620027,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ВАСИЛИЯ ЕРЕМИНА, ДОМ 12, ОФИС 316</w:t>
                  </w:r>
                </w:p>
              </w:tc>
            </w:tr>
            <w:tr w:rsidR="00793F4C" w:rsidTr="00793F4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793F4C" w:rsidRDefault="00793F4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620027,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ВАСИЛИЯ ЕРЕМИНА, ДОМ 12, ОФИС 316</w:t>
                  </w:r>
                </w:p>
              </w:tc>
            </w:tr>
          </w:tbl>
          <w:p w:rsidR="00793F4C" w:rsidRDefault="00793F4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F4C" w:rsidRDefault="00793F4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92594.70</w:t>
            </w:r>
          </w:p>
        </w:tc>
      </w:tr>
    </w:tbl>
    <w:p w:rsidR="00FE5A01" w:rsidRDefault="00FE5A01" w:rsidP="00FE5A01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FE5A01" w:rsidRPr="00793F4C" w:rsidRDefault="00FE5A01" w:rsidP="00FE5A01">
      <w:pPr>
        <w:suppressAutoHyphens/>
        <w:ind w:left="-142"/>
        <w:jc w:val="both"/>
        <w:rPr>
          <w:sz w:val="24"/>
        </w:rPr>
      </w:pPr>
      <w:r w:rsidRPr="00793F4C">
        <w:rPr>
          <w:sz w:val="24"/>
        </w:rPr>
        <w:t xml:space="preserve">- </w:t>
      </w:r>
      <w:r w:rsidR="00793F4C" w:rsidRPr="00793F4C">
        <w:rPr>
          <w:sz w:val="24"/>
        </w:rPr>
        <w:t>ОБЩЕСТВО С ОГРАНИЧЕННОЙ ОТВЕТСТВЕННОСТЬЮ "РЕГИОНСНАБ"</w:t>
      </w:r>
      <w:r w:rsidRPr="00793F4C">
        <w:rPr>
          <w:sz w:val="24"/>
        </w:rPr>
        <w:t>;</w:t>
      </w:r>
    </w:p>
    <w:p w:rsidR="00FE5A01" w:rsidRPr="00793F4C" w:rsidRDefault="00FE5A01" w:rsidP="00FE5A01">
      <w:pPr>
        <w:suppressAutoHyphens/>
        <w:ind w:left="-142"/>
        <w:jc w:val="both"/>
        <w:rPr>
          <w:sz w:val="24"/>
        </w:rPr>
      </w:pPr>
      <w:r w:rsidRPr="00793F4C">
        <w:rPr>
          <w:sz w:val="24"/>
        </w:rPr>
        <w:t xml:space="preserve">- </w:t>
      </w:r>
      <w:r w:rsidR="00793F4C" w:rsidRPr="00793F4C">
        <w:rPr>
          <w:sz w:val="24"/>
        </w:rPr>
        <w:t>ИП УСТИНОВ ЮРИЙ НИКОЛАЕВИЧ</w:t>
      </w:r>
      <w:r w:rsidRPr="00793F4C">
        <w:rPr>
          <w:sz w:val="24"/>
        </w:rPr>
        <w:t>;</w:t>
      </w:r>
    </w:p>
    <w:p w:rsidR="00FE5A01" w:rsidRPr="00793F4C" w:rsidRDefault="00FE5A01" w:rsidP="00FE5A01">
      <w:pPr>
        <w:suppressAutoHyphens/>
        <w:ind w:left="-142"/>
        <w:jc w:val="both"/>
        <w:rPr>
          <w:sz w:val="24"/>
        </w:rPr>
      </w:pPr>
      <w:r w:rsidRPr="00793F4C">
        <w:rPr>
          <w:sz w:val="24"/>
        </w:rPr>
        <w:t xml:space="preserve">- </w:t>
      </w:r>
      <w:r w:rsidR="00793F4C" w:rsidRPr="00793F4C">
        <w:rPr>
          <w:sz w:val="24"/>
        </w:rPr>
        <w:t>ОБЩЕСТВО С ОГРАНИЧЕННОЙ ОТВЕТСТВЕННОСТЬЮ "СОВ-ОПТТОРГ-ПРОДУКТ";</w:t>
      </w:r>
    </w:p>
    <w:p w:rsidR="00793F4C" w:rsidRPr="00793F4C" w:rsidRDefault="00793F4C" w:rsidP="00FE5A01">
      <w:pPr>
        <w:suppressAutoHyphens/>
        <w:ind w:left="-142"/>
        <w:jc w:val="both"/>
        <w:rPr>
          <w:sz w:val="24"/>
        </w:rPr>
      </w:pPr>
      <w:r w:rsidRPr="00793F4C">
        <w:rPr>
          <w:sz w:val="24"/>
        </w:rPr>
        <w:t>- ОБЩЕСТВО С ОГРАНИЧЕННОЙ ОТВЕТСТВЕННОСТЬЮ "СЕВЕРНАЯ ТОРГОВАЯ КОМПАНИЯ".</w:t>
      </w:r>
    </w:p>
    <w:p w:rsidR="00FE5A01" w:rsidRDefault="00FE5A01" w:rsidP="00FE5A01">
      <w:pPr>
        <w:suppressAutoHyphens/>
        <w:ind w:left="-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793F4C">
        <w:rPr>
          <w:sz w:val="24"/>
        </w:rPr>
        <w:t>кциона в электронной форме от 23</w:t>
      </w:r>
      <w:r>
        <w:rPr>
          <w:sz w:val="24"/>
        </w:rPr>
        <w:t xml:space="preserve">.12.2020 победителем аукциона в электронной форме признается </w:t>
      </w:r>
      <w:r w:rsidR="00793F4C" w:rsidRPr="00793F4C">
        <w:rPr>
          <w:sz w:val="24"/>
        </w:rPr>
        <w:t>ОБЩЕСТВО С ОГРАНИЧЕННОЙ ОТВЕТСТВЕННОСТЬЮ "РЕГИОНСНАБ"</w:t>
      </w:r>
      <w:r>
        <w:rPr>
          <w:sz w:val="24"/>
        </w:rPr>
        <w:t xml:space="preserve">,  с ценой гражданско-правового договора  </w:t>
      </w:r>
      <w:r w:rsidR="00793F4C" w:rsidRPr="00793F4C">
        <w:rPr>
          <w:sz w:val="24"/>
        </w:rPr>
        <w:t xml:space="preserve">63746.10 </w:t>
      </w:r>
      <w:r>
        <w:rPr>
          <w:sz w:val="24"/>
        </w:rPr>
        <w:t xml:space="preserve">рублей. </w:t>
      </w:r>
    </w:p>
    <w:p w:rsidR="00FE5A01" w:rsidRDefault="00FE5A01" w:rsidP="00FE5A01">
      <w:pPr>
        <w:suppressAutoHyphens/>
        <w:ind w:left="-142"/>
        <w:jc w:val="both"/>
        <w:rPr>
          <w:sz w:val="24"/>
        </w:rPr>
      </w:pPr>
      <w:r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E5A01" w:rsidRDefault="00FE5A01" w:rsidP="00FE5A01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FE5A01" w:rsidRDefault="00FE5A01" w:rsidP="00FE5A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FE5A01" w:rsidRDefault="00FE5A01" w:rsidP="00FE5A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E5A01" w:rsidRDefault="00FE5A01" w:rsidP="00FE5A01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FE5A01" w:rsidTr="00FE5A0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FE5A01" w:rsidTr="00FE5A0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FE5A01" w:rsidTr="00FE5A0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lang w:eastAsia="en-US"/>
              </w:rPr>
              <w:t>Бандурин</w:t>
            </w:r>
            <w:proofErr w:type="spellEnd"/>
          </w:p>
        </w:tc>
      </w:tr>
      <w:tr w:rsidR="00FE5A01" w:rsidTr="00FE5A0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В.А.Климин</w:t>
            </w:r>
            <w:proofErr w:type="spellEnd"/>
          </w:p>
        </w:tc>
      </w:tr>
      <w:tr w:rsidR="00FE5A01" w:rsidTr="00FE5A0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FE5A01" w:rsidTr="00FE5A0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А.Т.Абдуллаев</w:t>
            </w:r>
            <w:proofErr w:type="spellEnd"/>
          </w:p>
        </w:tc>
      </w:tr>
      <w:tr w:rsidR="00FE5A01" w:rsidTr="00FE5A01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01" w:rsidRDefault="00FE5A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A01" w:rsidRDefault="00FE5A0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FE5A01" w:rsidRDefault="00FE5A01" w:rsidP="00FE5A01">
      <w:pPr>
        <w:jc w:val="both"/>
        <w:rPr>
          <w:rFonts w:ascii="PT Serif" w:hAnsi="PT Serif"/>
          <w:b/>
          <w:sz w:val="24"/>
          <w:szCs w:val="24"/>
        </w:rPr>
      </w:pPr>
    </w:p>
    <w:p w:rsidR="00FE5A01" w:rsidRDefault="00FE5A01" w:rsidP="00FE5A01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FE5A01" w:rsidRDefault="00FE5A01" w:rsidP="00FE5A01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E5A01" w:rsidRDefault="00FE5A01" w:rsidP="00FE5A01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FE5A01" w:rsidRDefault="00FE5A01" w:rsidP="00FE5A01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FE5A01" w:rsidRDefault="00FE5A01" w:rsidP="00FE5A01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FE5A01" w:rsidRDefault="00FE5A01" w:rsidP="00FE5A01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FE5A01" w:rsidRDefault="00FE5A01" w:rsidP="00FE5A01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FE5A01" w:rsidRDefault="00FE5A01" w:rsidP="00FE5A01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FE5A01" w:rsidRDefault="00FE5A01" w:rsidP="00FE5A01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FE5A01" w:rsidRDefault="00FE5A01" w:rsidP="00FE5A01"/>
    <w:p w:rsidR="00FE5A01" w:rsidRDefault="00FE5A01" w:rsidP="00FE5A01"/>
    <w:p w:rsidR="005B061A" w:rsidRDefault="005B061A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/>
    <w:p w:rsidR="006D4CA7" w:rsidRDefault="006D4CA7" w:rsidP="006D4CA7">
      <w:pPr>
        <w:ind w:hanging="426"/>
        <w:jc w:val="right"/>
        <w:sectPr w:rsidR="006D4CA7" w:rsidSect="00793F4C">
          <w:pgSz w:w="11906" w:h="16838"/>
          <w:pgMar w:top="426" w:right="850" w:bottom="142" w:left="709" w:header="708" w:footer="708" w:gutter="0"/>
          <w:cols w:space="708"/>
          <w:docGrid w:linePitch="360"/>
        </w:sectPr>
      </w:pPr>
    </w:p>
    <w:p w:rsidR="006D4CA7" w:rsidRDefault="006D4CA7" w:rsidP="006D4CA7">
      <w:pPr>
        <w:ind w:hanging="426"/>
        <w:jc w:val="right"/>
      </w:pPr>
      <w:r>
        <w:lastRenderedPageBreak/>
        <w:t xml:space="preserve">   Приложение </w:t>
      </w:r>
    </w:p>
    <w:p w:rsidR="006D4CA7" w:rsidRDefault="006D4CA7" w:rsidP="006D4CA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D4CA7" w:rsidRDefault="006D4CA7" w:rsidP="006D4CA7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6D4CA7" w:rsidRDefault="006D4CA7" w:rsidP="006D4CA7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«24» декабря 2020 г. </w:t>
      </w:r>
      <w:r>
        <w:rPr>
          <w:color w:val="000000"/>
        </w:rPr>
        <w:t>0187300005820000423-</w:t>
      </w:r>
      <w:r>
        <w:t>3</w:t>
      </w:r>
    </w:p>
    <w:p w:rsidR="006D4CA7" w:rsidRDefault="006D4CA7" w:rsidP="006D4CA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 xml:space="preserve">Таблица подведения итогов аукциона в электронной форме </w:t>
      </w:r>
    </w:p>
    <w:p w:rsidR="006D4CA7" w:rsidRDefault="006D4CA7" w:rsidP="006D4CA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на право заключения гражданско-правового договора на поставку продуктов питания (сыр).</w:t>
      </w:r>
    </w:p>
    <w:p w:rsidR="006D4CA7" w:rsidRDefault="006D4CA7" w:rsidP="006D4CA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60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9"/>
        <w:gridCol w:w="1276"/>
        <w:gridCol w:w="1560"/>
        <w:gridCol w:w="1561"/>
        <w:gridCol w:w="1275"/>
        <w:gridCol w:w="1419"/>
      </w:tblGrid>
      <w:tr w:rsidR="006D4CA7" w:rsidTr="006D4CA7">
        <w:trPr>
          <w:trHeight w:val="174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Идентификационный номер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 w:rsidP="001C4AA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 1</w:t>
            </w:r>
            <w:r w:rsidR="001C4AAD">
              <w:rPr>
                <w:sz w:val="14"/>
                <w:szCs w:val="14"/>
                <w:lang w:eastAsia="en-US"/>
              </w:rPr>
              <w:t>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 w:rsidP="001C4AAD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</w:t>
            </w:r>
            <w:r w:rsidR="001C4AAD">
              <w:rPr>
                <w:sz w:val="14"/>
                <w:szCs w:val="14"/>
                <w:lang w:eastAsia="en-US"/>
              </w:rPr>
              <w:t>59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 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№74</w:t>
            </w:r>
          </w:p>
        </w:tc>
      </w:tr>
      <w:tr w:rsidR="006D4CA7" w:rsidTr="006D4CA7">
        <w:trPr>
          <w:trHeight w:val="479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left="294" w:hanging="29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left="-2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Обязательные требования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</w:t>
            </w:r>
          </w:p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«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Регионснаб</w:t>
            </w:r>
            <w:proofErr w:type="spellEnd"/>
            <w:r>
              <w:rPr>
                <w:bCs/>
                <w:color w:val="000000"/>
                <w:sz w:val="14"/>
                <w:szCs w:val="14"/>
                <w:lang w:eastAsia="en-US"/>
              </w:rPr>
              <w:t>»,</w:t>
            </w:r>
          </w:p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г. Екатеринбург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Индивидуальный предприниматель Устинов Юрий Николаевич</w:t>
            </w: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.О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мск</w:t>
            </w:r>
            <w:proofErr w:type="spellEnd"/>
          </w:p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</w:t>
            </w:r>
          </w:p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«Сов-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sz w:val="14"/>
                <w:szCs w:val="14"/>
                <w:lang w:eastAsia="en-US"/>
              </w:rPr>
              <w:t>-Продукт»,</w:t>
            </w:r>
          </w:p>
          <w:p w:rsidR="006D4CA7" w:rsidRDefault="006D4CA7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г. Екатеринбург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</w:t>
            </w:r>
          </w:p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«Северная торговая компания»,</w:t>
            </w:r>
          </w:p>
          <w:p w:rsidR="006D4CA7" w:rsidRDefault="006D4CA7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г. Екатеринбург</w:t>
            </w:r>
          </w:p>
        </w:tc>
      </w:tr>
      <w:tr w:rsidR="006D4CA7" w:rsidTr="006D4CA7">
        <w:trPr>
          <w:trHeight w:val="515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uppressAutoHyphens/>
              <w:snapToGrid w:val="0"/>
              <w:spacing w:line="276" w:lineRule="auto"/>
              <w:ind w:left="3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 -</w:t>
            </w:r>
            <w:r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</w:t>
            </w:r>
            <w:r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>
              <w:rPr>
                <w:sz w:val="14"/>
                <w:szCs w:val="14"/>
                <w:lang w:eastAsia="en-US"/>
              </w:rPr>
              <w:t>банкротом</w:t>
            </w:r>
            <w:r>
              <w:rPr>
                <w:bCs/>
                <w:sz w:val="14"/>
                <w:szCs w:val="14"/>
                <w:lang w:eastAsia="en-US"/>
              </w:rPr>
              <w:t>)</w:t>
            </w:r>
            <w:r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6D4CA7" w:rsidTr="006D4CA7">
        <w:trPr>
          <w:trHeight w:val="335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</w:t>
            </w:r>
            <w:r>
              <w:rPr>
                <w:sz w:val="14"/>
                <w:szCs w:val="14"/>
                <w:lang w:eastAsia="en-US"/>
              </w:rPr>
              <w:t xml:space="preserve"> в порядке, </w:t>
            </w:r>
            <w:r>
              <w:rPr>
                <w:bCs/>
                <w:sz w:val="14"/>
                <w:szCs w:val="14"/>
                <w:lang w:eastAsia="en-US"/>
              </w:rPr>
              <w:t>установленном</w:t>
            </w:r>
            <w:r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6D4CA7" w:rsidTr="006D4CA7"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обязанности </w:t>
            </w:r>
            <w:proofErr w:type="gramStart"/>
            <w:r>
              <w:rPr>
                <w:sz w:val="14"/>
                <w:szCs w:val="14"/>
                <w:lang w:eastAsia="en-US"/>
              </w:rPr>
              <w:t>заявителя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6D4CA7" w:rsidTr="006D4CA7"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4. </w:t>
            </w:r>
            <w:proofErr w:type="gramStart"/>
            <w:r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6D4CA7" w:rsidTr="006D4CA7">
        <w:trPr>
          <w:trHeight w:val="467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6D4CA7" w:rsidTr="006D4CA7">
        <w:trPr>
          <w:trHeight w:val="424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</w:t>
            </w:r>
            <w:r>
              <w:rPr>
                <w:sz w:val="14"/>
                <w:szCs w:val="14"/>
                <w:lang w:eastAsia="en-US"/>
              </w:rPr>
              <w:lastRenderedPageBreak/>
              <w:t>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декларация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6D4CA7" w:rsidTr="006D4CA7">
        <w:trPr>
          <w:trHeight w:val="267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6D4CA7" w:rsidTr="006D4CA7">
        <w:trPr>
          <w:trHeight w:val="424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left="142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>
              <w:rPr>
                <w:sz w:val="14"/>
                <w:szCs w:val="14"/>
                <w:lang w:eastAsia="en-US"/>
              </w:rPr>
              <w:t xml:space="preserve">, </w:t>
            </w:r>
            <w:r>
              <w:rPr>
                <w:bCs/>
                <w:sz w:val="14"/>
                <w:szCs w:val="14"/>
                <w:lang w:eastAsia="en-US"/>
              </w:rPr>
              <w:t>в том числе</w:t>
            </w:r>
            <w:r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  <w:lang w:eastAsia="en-US"/>
              </w:rPr>
              <w:t>о</w:t>
            </w:r>
            <w:r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отсутствие</w:t>
            </w:r>
          </w:p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6D4CA7" w:rsidTr="006D4CA7">
        <w:trPr>
          <w:trHeight w:val="307"/>
        </w:trPr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  в полном объеме</w:t>
            </w:r>
          </w:p>
        </w:tc>
      </w:tr>
      <w:tr w:rsidR="006D4CA7" w:rsidTr="006D4CA7">
        <w:trPr>
          <w:trHeight w:val="390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120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4"/>
                <w:szCs w:val="14"/>
                <w:lang w:eastAsia="en-US"/>
              </w:rPr>
              <w:t xml:space="preserve"> 93 060  </w:t>
            </w:r>
            <w:r>
              <w:rPr>
                <w:b/>
                <w:sz w:val="14"/>
                <w:szCs w:val="14"/>
                <w:lang w:eastAsia="en-US"/>
              </w:rPr>
              <w:t>рублей 00  к</w:t>
            </w:r>
            <w:r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7" w:rsidRDefault="006D4CA7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CA7" w:rsidRDefault="006D4CA7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A7" w:rsidRDefault="006D4CA7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6D4CA7" w:rsidTr="006D4CA7"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11. Предложенная цена договора, рублей.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63 746,10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64 211,40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80 962,20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92 594,70</w:t>
            </w:r>
          </w:p>
        </w:tc>
      </w:tr>
      <w:tr w:rsidR="006D4CA7" w:rsidTr="006D4CA7">
        <w:trPr>
          <w:trHeight w:val="259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A7" w:rsidRDefault="006D4CA7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A7" w:rsidRDefault="006D4CA7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4</w:t>
            </w:r>
          </w:p>
        </w:tc>
      </w:tr>
    </w:tbl>
    <w:p w:rsidR="006D4CA7" w:rsidRDefault="006D4CA7" w:rsidP="006D4CA7">
      <w:pPr>
        <w:rPr>
          <w:sz w:val="18"/>
          <w:szCs w:val="18"/>
        </w:rPr>
        <w:sectPr w:rsidR="006D4CA7" w:rsidSect="006D4CA7">
          <w:pgSz w:w="16838" w:h="11906" w:orient="landscape"/>
          <w:pgMar w:top="709" w:right="425" w:bottom="851" w:left="238" w:header="709" w:footer="709" w:gutter="0"/>
          <w:cols w:space="708"/>
          <w:docGrid w:linePitch="360"/>
        </w:sectPr>
      </w:pPr>
    </w:p>
    <w:p w:rsidR="006D4CA7" w:rsidRDefault="006D4CA7" w:rsidP="006D4CA7">
      <w:pPr>
        <w:rPr>
          <w:sz w:val="18"/>
          <w:szCs w:val="18"/>
        </w:rPr>
      </w:pPr>
    </w:p>
    <w:p w:rsidR="006D4CA7" w:rsidRDefault="006D4CA7"/>
    <w:p w:rsidR="006D4CA7" w:rsidRDefault="006D4CA7"/>
    <w:p w:rsidR="006D4CA7" w:rsidRDefault="006D4CA7"/>
    <w:sectPr w:rsidR="006D4CA7" w:rsidSect="00793F4C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16"/>
    <w:rsid w:val="001C4AAD"/>
    <w:rsid w:val="005B061A"/>
    <w:rsid w:val="006D4CA7"/>
    <w:rsid w:val="00793F4C"/>
    <w:rsid w:val="007A7516"/>
    <w:rsid w:val="00A20369"/>
    <w:rsid w:val="00BA1F47"/>
    <w:rsid w:val="00CE041A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5A01"/>
    <w:rPr>
      <w:color w:val="0000FF"/>
      <w:u w:val="single"/>
    </w:rPr>
  </w:style>
  <w:style w:type="table" w:customStyle="1" w:styleId="dt">
    <w:name w:val="dt"/>
    <w:basedOn w:val="a1"/>
    <w:rsid w:val="00793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6D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6D4CA7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6D4CA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D4C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4C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C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5A01"/>
    <w:rPr>
      <w:color w:val="0000FF"/>
      <w:u w:val="single"/>
    </w:rPr>
  </w:style>
  <w:style w:type="table" w:customStyle="1" w:styleId="dt">
    <w:name w:val="dt"/>
    <w:basedOn w:val="a1"/>
    <w:rsid w:val="00793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6D4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6D4CA7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6D4CA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6D4C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4C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C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2020-12-24T04:30:00Z</cp:lastPrinted>
  <dcterms:created xsi:type="dcterms:W3CDTF">2020-12-22T07:19:00Z</dcterms:created>
  <dcterms:modified xsi:type="dcterms:W3CDTF">2020-12-24T06:28:00Z</dcterms:modified>
</cp:coreProperties>
</file>