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FB0146">
      <w:pPr>
        <w:pStyle w:val="ConsPlusNormal"/>
        <w:widowControl/>
        <w:ind w:firstLine="0"/>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AE437C" w:rsidRPr="00AE437C">
        <w:rPr>
          <w:rFonts w:ascii="Times New Roman" w:eastAsia="Times New Roman" w:hAnsi="Times New Roman" w:cs="Times New Roman"/>
        </w:rPr>
        <w:t>203862200272086220100100240010000000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D776F0">
        <w:rPr>
          <w:rFonts w:ascii="Times New Roman" w:hAnsi="Times New Roman" w:cs="Times New Roman"/>
          <w:b/>
          <w:bCs/>
        </w:rPr>
        <w:t>шоколад, мармелад</w:t>
      </w:r>
      <w:r w:rsidR="00D776F0"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10207" w:type="dxa"/>
        <w:jc w:val="center"/>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405"/>
        <w:gridCol w:w="567"/>
        <w:gridCol w:w="992"/>
        <w:gridCol w:w="3402"/>
      </w:tblGrid>
      <w:tr w:rsidR="004831AF" w:rsidTr="00FB0146">
        <w:trPr>
          <w:jc w:val="center"/>
        </w:trPr>
        <w:tc>
          <w:tcPr>
            <w:tcW w:w="6805"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D536C5">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p>
        </w:tc>
      </w:tr>
      <w:tr w:rsidR="004831AF" w:rsidTr="00FB0146">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405"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D776F0" w:rsidTr="0097670C">
        <w:trPr>
          <w:trHeight w:val="1457"/>
          <w:jc w:val="center"/>
        </w:trPr>
        <w:tc>
          <w:tcPr>
            <w:tcW w:w="567" w:type="dxa"/>
            <w:tcBorders>
              <w:top w:val="single" w:sz="4" w:space="0" w:color="auto"/>
              <w:left w:val="single" w:sz="4" w:space="0" w:color="auto"/>
              <w:bottom w:val="single" w:sz="4" w:space="0" w:color="auto"/>
              <w:right w:val="single" w:sz="4" w:space="0" w:color="auto"/>
            </w:tcBorders>
            <w:hideMark/>
          </w:tcPr>
          <w:p w:rsidR="00D776F0" w:rsidRDefault="00D776F0"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D776F0" w:rsidRPr="00D776F0" w:rsidRDefault="00043D58" w:rsidP="00F87058">
            <w:pPr>
              <w:autoSpaceDE w:val="0"/>
              <w:autoSpaceDN w:val="0"/>
              <w:adjustRightInd w:val="0"/>
              <w:jc w:val="center"/>
              <w:rPr>
                <w:rFonts w:ascii="Times New Roman" w:hAnsi="Times New Roman" w:cs="Times New Roman"/>
                <w:sz w:val="20"/>
                <w:szCs w:val="20"/>
              </w:rPr>
            </w:pPr>
            <w:r w:rsidRPr="00043D58">
              <w:rPr>
                <w:rFonts w:ascii="Times New Roman" w:hAnsi="Times New Roman" w:cs="Times New Roman"/>
                <w:sz w:val="20"/>
                <w:szCs w:val="20"/>
              </w:rPr>
              <w:t>10.82.22.110-00000002</w:t>
            </w:r>
          </w:p>
        </w:tc>
        <w:tc>
          <w:tcPr>
            <w:tcW w:w="3405" w:type="dxa"/>
            <w:tcBorders>
              <w:top w:val="single" w:sz="4" w:space="0" w:color="auto"/>
              <w:left w:val="single" w:sz="4" w:space="0" w:color="auto"/>
              <w:bottom w:val="single" w:sz="4" w:space="0" w:color="auto"/>
              <w:right w:val="single" w:sz="4" w:space="0" w:color="auto"/>
            </w:tcBorders>
            <w:hideMark/>
          </w:tcPr>
          <w:p w:rsidR="00D776F0" w:rsidRPr="00D776F0" w:rsidRDefault="00043D58" w:rsidP="00F87058">
            <w:pPr>
              <w:rPr>
                <w:rFonts w:ascii="Times New Roman" w:hAnsi="Times New Roman" w:cs="Times New Roman"/>
                <w:sz w:val="20"/>
                <w:szCs w:val="20"/>
                <w:highlight w:val="yellow"/>
              </w:rPr>
            </w:pPr>
            <w:r w:rsidRPr="00043D58">
              <w:rPr>
                <w:rFonts w:ascii="Times New Roman" w:hAnsi="Times New Roman" w:cs="Times New Roman"/>
                <w:sz w:val="20"/>
                <w:szCs w:val="20"/>
              </w:rPr>
              <w:t>Шоколад в упакованном виде</w:t>
            </w:r>
            <w:r>
              <w:rPr>
                <w:rFonts w:ascii="Times New Roman" w:hAnsi="Times New Roman" w:cs="Times New Roman"/>
                <w:sz w:val="20"/>
                <w:szCs w:val="20"/>
              </w:rPr>
              <w:t xml:space="preserve">. </w:t>
            </w:r>
            <w:r w:rsidR="009C148B" w:rsidRPr="009C148B">
              <w:rPr>
                <w:rFonts w:ascii="Times New Roman" w:hAnsi="Times New Roman" w:cs="Times New Roman"/>
                <w:sz w:val="20"/>
                <w:szCs w:val="20"/>
              </w:rPr>
              <w:t>Вид шоколада</w:t>
            </w:r>
            <w:r w:rsidR="009C148B">
              <w:rPr>
                <w:rFonts w:ascii="Times New Roman" w:hAnsi="Times New Roman" w:cs="Times New Roman"/>
                <w:sz w:val="20"/>
                <w:szCs w:val="20"/>
              </w:rPr>
              <w:t xml:space="preserve">: </w:t>
            </w:r>
            <w:r w:rsidR="009C148B" w:rsidRPr="009C148B">
              <w:rPr>
                <w:rFonts w:ascii="Times New Roman" w:hAnsi="Times New Roman" w:cs="Times New Roman"/>
                <w:sz w:val="20"/>
                <w:szCs w:val="20"/>
              </w:rPr>
              <w:t>Шоколад обыкновенный</w:t>
            </w:r>
            <w:r w:rsidR="009C148B">
              <w:rPr>
                <w:rFonts w:ascii="Times New Roman" w:hAnsi="Times New Roman" w:cs="Times New Roman"/>
                <w:sz w:val="20"/>
                <w:szCs w:val="20"/>
              </w:rPr>
              <w:t xml:space="preserve">. </w:t>
            </w:r>
            <w:r w:rsidR="009C148B" w:rsidRPr="009C148B">
              <w:rPr>
                <w:rFonts w:ascii="Times New Roman" w:hAnsi="Times New Roman" w:cs="Times New Roman"/>
                <w:sz w:val="20"/>
                <w:szCs w:val="20"/>
              </w:rPr>
              <w:t>Тип состава (структуры)</w:t>
            </w:r>
            <w:r w:rsidR="009C148B">
              <w:rPr>
                <w:rFonts w:ascii="Times New Roman" w:hAnsi="Times New Roman" w:cs="Times New Roman"/>
                <w:sz w:val="20"/>
                <w:szCs w:val="20"/>
              </w:rPr>
              <w:t xml:space="preserve">: </w:t>
            </w:r>
            <w:r w:rsidR="009C148B" w:rsidRPr="009C148B">
              <w:rPr>
                <w:rFonts w:ascii="Times New Roman" w:hAnsi="Times New Roman" w:cs="Times New Roman"/>
                <w:sz w:val="20"/>
                <w:szCs w:val="20"/>
              </w:rPr>
              <w:t>С тонкоизмельченными добавлениями</w:t>
            </w:r>
            <w:r w:rsidR="009C148B">
              <w:rPr>
                <w:rFonts w:ascii="Times New Roman" w:hAnsi="Times New Roman" w:cs="Times New Roman"/>
                <w:sz w:val="20"/>
                <w:szCs w:val="20"/>
              </w:rPr>
              <w:t xml:space="preserve">. </w:t>
            </w:r>
            <w:r w:rsidR="009C148B" w:rsidRPr="009C148B">
              <w:rPr>
                <w:rFonts w:ascii="Times New Roman" w:hAnsi="Times New Roman" w:cs="Times New Roman"/>
                <w:sz w:val="20"/>
                <w:szCs w:val="20"/>
              </w:rPr>
              <w:t>Требования к продукту</w:t>
            </w:r>
            <w:r w:rsidR="009C148B">
              <w:rPr>
                <w:rFonts w:ascii="Times New Roman" w:hAnsi="Times New Roman" w:cs="Times New Roman"/>
                <w:sz w:val="20"/>
                <w:szCs w:val="20"/>
              </w:rPr>
              <w:t xml:space="preserve">: </w:t>
            </w:r>
            <w:r w:rsidR="009C148B" w:rsidRPr="009C148B">
              <w:rPr>
                <w:rFonts w:ascii="Times New Roman" w:hAnsi="Times New Roman" w:cs="Times New Roman"/>
                <w:sz w:val="20"/>
                <w:szCs w:val="20"/>
              </w:rPr>
              <w:t>Молочный шоколад</w:t>
            </w:r>
            <w:r w:rsidR="009C148B">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776F0" w:rsidRPr="00C20D89" w:rsidRDefault="00043D58" w:rsidP="00043D58">
            <w:pPr>
              <w:spacing w:after="0"/>
              <w:jc w:val="center"/>
              <w:rPr>
                <w:rFonts w:ascii="Times New Roman" w:hAnsi="Times New Roman" w:cs="Times New Roman"/>
                <w:sz w:val="20"/>
              </w:rPr>
            </w:pPr>
            <w:proofErr w:type="gramStart"/>
            <w:r>
              <w:rPr>
                <w:rFonts w:ascii="Times New Roman" w:hAnsi="Times New Roman" w:cs="Times New Roman"/>
                <w:sz w:val="20"/>
              </w:rPr>
              <w:t>к</w:t>
            </w:r>
            <w:proofErr w:type="gramEnd"/>
            <w:r>
              <w:rPr>
                <w:rFonts w:ascii="Times New Roman" w:hAnsi="Times New Roman" w:cs="Times New Roman"/>
                <w:sz w:val="20"/>
              </w:rPr>
              <w:t>г</w:t>
            </w:r>
          </w:p>
        </w:tc>
        <w:tc>
          <w:tcPr>
            <w:tcW w:w="992" w:type="dxa"/>
            <w:tcBorders>
              <w:top w:val="single" w:sz="4" w:space="0" w:color="auto"/>
              <w:left w:val="single" w:sz="4" w:space="0" w:color="auto"/>
              <w:bottom w:val="single" w:sz="4" w:space="0" w:color="auto"/>
              <w:right w:val="single" w:sz="4" w:space="0" w:color="auto"/>
            </w:tcBorders>
            <w:hideMark/>
          </w:tcPr>
          <w:p w:rsidR="00D776F0" w:rsidRPr="00C20D89" w:rsidRDefault="009C148B" w:rsidP="005C0C55">
            <w:pPr>
              <w:spacing w:after="0"/>
              <w:jc w:val="center"/>
              <w:rPr>
                <w:rFonts w:ascii="Times New Roman" w:hAnsi="Times New Roman" w:cs="Times New Roman"/>
                <w:sz w:val="20"/>
              </w:rPr>
            </w:pPr>
            <w:r>
              <w:rPr>
                <w:rFonts w:ascii="Times New Roman" w:hAnsi="Times New Roman" w:cs="Times New Roman"/>
                <w:sz w:val="20"/>
              </w:rPr>
              <w:t>95,8</w:t>
            </w:r>
          </w:p>
        </w:tc>
        <w:tc>
          <w:tcPr>
            <w:tcW w:w="3402" w:type="dxa"/>
            <w:tcBorders>
              <w:top w:val="single" w:sz="4" w:space="0" w:color="auto"/>
              <w:left w:val="single" w:sz="4" w:space="0" w:color="auto"/>
              <w:bottom w:val="single" w:sz="4" w:space="0" w:color="auto"/>
              <w:right w:val="single" w:sz="4" w:space="0" w:color="auto"/>
            </w:tcBorders>
            <w:hideMark/>
          </w:tcPr>
          <w:p w:rsidR="00D776F0" w:rsidRPr="000B4A59" w:rsidRDefault="00FE22DE" w:rsidP="009C148B">
            <w:pPr>
              <w:jc w:val="center"/>
              <w:rPr>
                <w:rFonts w:ascii="Times New Roman" w:hAnsi="Times New Roman" w:cs="Times New Roman"/>
                <w:b/>
                <w:sz w:val="20"/>
                <w:szCs w:val="20"/>
              </w:rPr>
            </w:pPr>
            <w:r>
              <w:rPr>
                <w:rFonts w:ascii="Times New Roman" w:hAnsi="Times New Roman" w:cs="Times New Roman"/>
                <w:b/>
                <w:sz w:val="20"/>
                <w:szCs w:val="20"/>
              </w:rPr>
              <w:t xml:space="preserve">116 </w:t>
            </w:r>
            <w:r w:rsidR="009C148B">
              <w:rPr>
                <w:rFonts w:ascii="Times New Roman" w:hAnsi="Times New Roman" w:cs="Times New Roman"/>
                <w:b/>
                <w:sz w:val="20"/>
                <w:szCs w:val="20"/>
              </w:rPr>
              <w:t>237,01</w:t>
            </w:r>
          </w:p>
        </w:tc>
      </w:tr>
      <w:tr w:rsidR="00D776F0" w:rsidTr="0097670C">
        <w:trPr>
          <w:trHeight w:val="1356"/>
          <w:jc w:val="center"/>
        </w:trPr>
        <w:tc>
          <w:tcPr>
            <w:tcW w:w="567" w:type="dxa"/>
            <w:tcBorders>
              <w:top w:val="single" w:sz="4" w:space="0" w:color="auto"/>
              <w:left w:val="single" w:sz="4" w:space="0" w:color="auto"/>
              <w:bottom w:val="single" w:sz="4" w:space="0" w:color="auto"/>
              <w:right w:val="single" w:sz="4" w:space="0" w:color="auto"/>
            </w:tcBorders>
            <w:hideMark/>
          </w:tcPr>
          <w:p w:rsidR="00D776F0" w:rsidRDefault="00D776F0"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D776F0" w:rsidRPr="00D776F0" w:rsidRDefault="00D776F0" w:rsidP="00F87058">
            <w:pPr>
              <w:autoSpaceDE w:val="0"/>
              <w:autoSpaceDN w:val="0"/>
              <w:adjustRightInd w:val="0"/>
              <w:jc w:val="center"/>
              <w:rPr>
                <w:rFonts w:ascii="Times New Roman" w:hAnsi="Times New Roman" w:cs="Times New Roman"/>
                <w:sz w:val="20"/>
                <w:szCs w:val="20"/>
              </w:rPr>
            </w:pPr>
            <w:r w:rsidRPr="00D776F0">
              <w:rPr>
                <w:rFonts w:ascii="Times New Roman" w:hAnsi="Times New Roman" w:cs="Times New Roman"/>
                <w:sz w:val="20"/>
                <w:szCs w:val="20"/>
              </w:rPr>
              <w:t>10.82.23.171</w:t>
            </w:r>
          </w:p>
        </w:tc>
        <w:tc>
          <w:tcPr>
            <w:tcW w:w="3405" w:type="dxa"/>
            <w:tcBorders>
              <w:top w:val="single" w:sz="4" w:space="0" w:color="auto"/>
              <w:left w:val="single" w:sz="4" w:space="0" w:color="auto"/>
              <w:bottom w:val="single" w:sz="4" w:space="0" w:color="auto"/>
              <w:right w:val="single" w:sz="4" w:space="0" w:color="auto"/>
            </w:tcBorders>
            <w:hideMark/>
          </w:tcPr>
          <w:p w:rsidR="00D776F0" w:rsidRPr="00D776F0" w:rsidRDefault="00D776F0" w:rsidP="00F87058">
            <w:pPr>
              <w:rPr>
                <w:rFonts w:ascii="Times New Roman" w:hAnsi="Times New Roman" w:cs="Times New Roman"/>
                <w:sz w:val="20"/>
                <w:szCs w:val="20"/>
                <w:highlight w:val="yellow"/>
              </w:rPr>
            </w:pPr>
            <w:r w:rsidRPr="00D776F0">
              <w:rPr>
                <w:rFonts w:ascii="Times New Roman" w:hAnsi="Times New Roman" w:cs="Times New Roman"/>
                <w:sz w:val="20"/>
                <w:szCs w:val="20"/>
              </w:rPr>
              <w:t xml:space="preserve">Мармелад. </w:t>
            </w:r>
            <w:r w:rsidRPr="00D776F0">
              <w:rPr>
                <w:rFonts w:ascii="Times New Roman" w:hAnsi="Times New Roman" w:cs="Times New Roman"/>
                <w:sz w:val="20"/>
                <w:szCs w:val="20"/>
                <w:shd w:val="clear" w:color="auto" w:fill="FFFFFF"/>
              </w:rPr>
              <w:t xml:space="preserve">Фруктово-ягодный. Желеобразная структура, кисло-сладкий вкус, упругая консистенция. </w:t>
            </w:r>
            <w:proofErr w:type="gramStart"/>
            <w:r w:rsidRPr="00D776F0">
              <w:rPr>
                <w:rFonts w:ascii="Times New Roman" w:hAnsi="Times New Roman" w:cs="Times New Roman"/>
                <w:sz w:val="20"/>
                <w:szCs w:val="20"/>
                <w:shd w:val="clear" w:color="auto" w:fill="FFFFFF"/>
              </w:rPr>
              <w:t>Фасованный</w:t>
            </w:r>
            <w:proofErr w:type="gramEnd"/>
            <w:r w:rsidRPr="00D776F0">
              <w:rPr>
                <w:rFonts w:ascii="Times New Roman" w:hAnsi="Times New Roman" w:cs="Times New Roman"/>
                <w:sz w:val="20"/>
                <w:szCs w:val="20"/>
                <w:shd w:val="clear" w:color="auto" w:fill="FFFFFF"/>
              </w:rPr>
              <w:t xml:space="preserve"> </w:t>
            </w:r>
            <w:r w:rsidRPr="00D776F0">
              <w:rPr>
                <w:rFonts w:ascii="Times New Roman" w:hAnsi="Times New Roman" w:cs="Times New Roman"/>
                <w:color w:val="000000"/>
                <w:sz w:val="20"/>
                <w:szCs w:val="20"/>
                <w:shd w:val="clear" w:color="auto" w:fill="FFFFFF"/>
              </w:rPr>
              <w:t>в пакеты из полимерных пленок</w:t>
            </w:r>
            <w:r w:rsidRPr="00D776F0">
              <w:rPr>
                <w:rFonts w:ascii="Times New Roman" w:hAnsi="Times New Roman" w:cs="Times New Roman"/>
                <w:sz w:val="20"/>
                <w:szCs w:val="20"/>
                <w:shd w:val="clear" w:color="auto" w:fill="FFFFFF"/>
              </w:rPr>
              <w:t xml:space="preserve"> массой не менее 500г не более 600г. ГОСТ 6442-2014</w:t>
            </w:r>
          </w:p>
        </w:tc>
        <w:tc>
          <w:tcPr>
            <w:tcW w:w="567" w:type="dxa"/>
            <w:tcBorders>
              <w:top w:val="single" w:sz="4" w:space="0" w:color="auto"/>
              <w:left w:val="single" w:sz="4" w:space="0" w:color="auto"/>
              <w:bottom w:val="single" w:sz="4" w:space="0" w:color="auto"/>
              <w:right w:val="single" w:sz="4" w:space="0" w:color="auto"/>
            </w:tcBorders>
            <w:hideMark/>
          </w:tcPr>
          <w:p w:rsidR="00D776F0" w:rsidRPr="00C20D89" w:rsidRDefault="00D776F0" w:rsidP="005C0C55">
            <w:pPr>
              <w:spacing w:after="0"/>
              <w:jc w:val="center"/>
              <w:rPr>
                <w:rFonts w:ascii="Times New Roman" w:hAnsi="Times New Roman" w:cs="Times New Roman"/>
                <w:sz w:val="20"/>
              </w:rPr>
            </w:pPr>
            <w:r>
              <w:rPr>
                <w:rFonts w:ascii="Times New Roman" w:hAnsi="Times New Roman" w:cs="Times New Roman"/>
                <w:sz w:val="20"/>
              </w:rPr>
              <w:t>кг</w:t>
            </w:r>
          </w:p>
        </w:tc>
        <w:tc>
          <w:tcPr>
            <w:tcW w:w="992" w:type="dxa"/>
            <w:tcBorders>
              <w:top w:val="single" w:sz="4" w:space="0" w:color="auto"/>
              <w:left w:val="single" w:sz="4" w:space="0" w:color="auto"/>
              <w:bottom w:val="single" w:sz="4" w:space="0" w:color="auto"/>
              <w:right w:val="single" w:sz="4" w:space="0" w:color="auto"/>
            </w:tcBorders>
            <w:hideMark/>
          </w:tcPr>
          <w:p w:rsidR="00D776F0" w:rsidRDefault="00FE22DE" w:rsidP="005C0C55">
            <w:pPr>
              <w:spacing w:after="0"/>
              <w:jc w:val="center"/>
              <w:rPr>
                <w:rFonts w:ascii="Times New Roman" w:hAnsi="Times New Roman" w:cs="Times New Roman"/>
                <w:sz w:val="20"/>
              </w:rPr>
            </w:pPr>
            <w:r>
              <w:rPr>
                <w:rFonts w:ascii="Times New Roman" w:hAnsi="Times New Roman" w:cs="Times New Roman"/>
                <w:sz w:val="20"/>
              </w:rPr>
              <w:t>500</w:t>
            </w:r>
          </w:p>
        </w:tc>
        <w:tc>
          <w:tcPr>
            <w:tcW w:w="3402" w:type="dxa"/>
            <w:tcBorders>
              <w:top w:val="single" w:sz="4" w:space="0" w:color="auto"/>
              <w:left w:val="single" w:sz="4" w:space="0" w:color="auto"/>
              <w:bottom w:val="single" w:sz="4" w:space="0" w:color="auto"/>
              <w:right w:val="single" w:sz="4" w:space="0" w:color="auto"/>
            </w:tcBorders>
            <w:hideMark/>
          </w:tcPr>
          <w:p w:rsidR="00D776F0" w:rsidRDefault="00FE22DE" w:rsidP="00AB3661">
            <w:pPr>
              <w:jc w:val="center"/>
              <w:rPr>
                <w:rFonts w:ascii="Times New Roman" w:hAnsi="Times New Roman" w:cs="Times New Roman"/>
                <w:b/>
                <w:sz w:val="20"/>
                <w:szCs w:val="20"/>
              </w:rPr>
            </w:pPr>
            <w:r>
              <w:rPr>
                <w:rFonts w:ascii="Times New Roman" w:hAnsi="Times New Roman" w:cs="Times New Roman"/>
                <w:b/>
                <w:sz w:val="20"/>
                <w:szCs w:val="20"/>
              </w:rPr>
              <w:t>136 665,00</w:t>
            </w:r>
          </w:p>
        </w:tc>
      </w:tr>
      <w:tr w:rsidR="004831AF" w:rsidTr="00FB0146">
        <w:trPr>
          <w:trHeight w:val="254"/>
          <w:jc w:val="center"/>
        </w:trPr>
        <w:tc>
          <w:tcPr>
            <w:tcW w:w="6805"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831AF" w:rsidRPr="000B4A59" w:rsidRDefault="009C148B" w:rsidP="00A64537">
            <w:pPr>
              <w:jc w:val="center"/>
              <w:rPr>
                <w:rFonts w:ascii="Times New Roman" w:hAnsi="Times New Roman" w:cs="Times New Roman"/>
                <w:b/>
                <w:sz w:val="20"/>
                <w:szCs w:val="20"/>
              </w:rPr>
            </w:pPr>
            <w:r>
              <w:rPr>
                <w:rFonts w:ascii="Times New Roman" w:hAnsi="Times New Roman" w:cs="Times New Roman"/>
                <w:b/>
                <w:sz w:val="20"/>
                <w:szCs w:val="20"/>
              </w:rPr>
              <w:t>25</w:t>
            </w:r>
            <w:r w:rsidR="00A64537">
              <w:rPr>
                <w:rFonts w:ascii="Times New Roman" w:hAnsi="Times New Roman" w:cs="Times New Roman"/>
                <w:b/>
                <w:sz w:val="20"/>
                <w:szCs w:val="20"/>
              </w:rPr>
              <w:t>2</w:t>
            </w:r>
            <w:r>
              <w:rPr>
                <w:rFonts w:ascii="Times New Roman" w:hAnsi="Times New Roman" w:cs="Times New Roman"/>
                <w:b/>
                <w:sz w:val="20"/>
                <w:szCs w:val="20"/>
              </w:rPr>
              <w:t xml:space="preserve"> 902,01</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lastRenderedPageBreak/>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BB10AF">
        <w:rPr>
          <w:rFonts w:ascii="Times New Roman" w:hAnsi="Times New Roman" w:cs="Times New Roman"/>
        </w:rPr>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0E2980">
        <w:rPr>
          <w:rFonts w:ascii="Times New Roman" w:hAnsi="Times New Roman" w:cs="Times New Roman"/>
          <w:b/>
          <w:u w:val="single"/>
        </w:rPr>
        <w:t>30</w:t>
      </w:r>
      <w:r w:rsidR="000B4A59" w:rsidRPr="00BB10AF">
        <w:rPr>
          <w:rFonts w:ascii="Times New Roman" w:hAnsi="Times New Roman" w:cs="Times New Roman"/>
          <w:b/>
          <w:u w:val="single"/>
        </w:rPr>
        <w:t xml:space="preserve">»    </w:t>
      </w:r>
      <w:r w:rsidR="000E2980">
        <w:t xml:space="preserve">июня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0E2980">
        <w:rPr>
          <w:rFonts w:ascii="Times New Roman" w:hAnsi="Times New Roman" w:cs="Times New Roman"/>
          <w:b/>
          <w:u w:val="single"/>
        </w:rPr>
        <w:t>02</w:t>
      </w:r>
      <w:r w:rsidRPr="00BB10AF">
        <w:rPr>
          <w:rFonts w:ascii="Times New Roman" w:hAnsi="Times New Roman" w:cs="Times New Roman"/>
          <w:b/>
          <w:u w:val="single"/>
        </w:rPr>
        <w:t xml:space="preserve">»   </w:t>
      </w:r>
      <w:r w:rsidR="000E2980">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0E2980">
        <w:rPr>
          <w:rFonts w:ascii="Times New Roman" w:hAnsi="Times New Roman" w:cs="Times New Roman"/>
          <w:b/>
          <w:u w:val="single"/>
        </w:rPr>
        <w:t>03</w:t>
      </w:r>
      <w:r w:rsidR="000B4A59" w:rsidRPr="00BB10AF">
        <w:rPr>
          <w:rFonts w:ascii="Times New Roman" w:hAnsi="Times New Roman" w:cs="Times New Roman"/>
          <w:b/>
          <w:u w:val="single"/>
        </w:rPr>
        <w:t xml:space="preserve">»  </w:t>
      </w:r>
      <w:r w:rsidR="000E2980">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Преимущества, предоставляемые осуществляю</w:t>
      </w:r>
      <w:bookmarkStart w:id="0" w:name="_GoBack"/>
      <w:bookmarkEnd w:id="0"/>
      <w:r w:rsidRPr="00BB10AF">
        <w:rPr>
          <w:rFonts w:ascii="Times New Roman" w:hAnsi="Times New Roman" w:cs="Times New Roman"/>
        </w:rPr>
        <w:t xml:space="preserve">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FE22DE">
        <w:rPr>
          <w:rFonts w:ascii="Times New Roman" w:hAnsi="Times New Roman" w:cs="Times New Roman"/>
          <w:b/>
        </w:rPr>
        <w:t>2 5</w:t>
      </w:r>
      <w:r w:rsidR="004F20FA">
        <w:rPr>
          <w:rFonts w:ascii="Times New Roman" w:hAnsi="Times New Roman" w:cs="Times New Roman"/>
          <w:b/>
        </w:rPr>
        <w:t>29</w:t>
      </w:r>
      <w:r w:rsidR="00FE22DE">
        <w:rPr>
          <w:rFonts w:ascii="Times New Roman" w:hAnsi="Times New Roman" w:cs="Times New Roman"/>
          <w:b/>
        </w:rPr>
        <w:t xml:space="preserve"> (две тысячи пятьсот </w:t>
      </w:r>
      <w:r w:rsidR="004F20FA">
        <w:rPr>
          <w:rFonts w:ascii="Times New Roman" w:hAnsi="Times New Roman" w:cs="Times New Roman"/>
          <w:b/>
        </w:rPr>
        <w:t>двадцать девять</w:t>
      </w:r>
      <w:r w:rsidR="00FE22DE">
        <w:rPr>
          <w:rFonts w:ascii="Times New Roman" w:hAnsi="Times New Roman" w:cs="Times New Roman"/>
          <w:b/>
        </w:rPr>
        <w:t xml:space="preserve">) рублей </w:t>
      </w:r>
      <w:r w:rsidR="004F20FA">
        <w:rPr>
          <w:rFonts w:ascii="Times New Roman" w:hAnsi="Times New Roman" w:cs="Times New Roman"/>
          <w:b/>
        </w:rPr>
        <w:t>02</w:t>
      </w:r>
      <w:r w:rsidR="00FE22DE">
        <w:rPr>
          <w:rFonts w:ascii="Times New Roman" w:hAnsi="Times New Roman" w:cs="Times New Roman"/>
          <w:b/>
        </w:rPr>
        <w:t xml:space="preserve"> копе</w:t>
      </w:r>
      <w:r w:rsidR="004F20FA">
        <w:rPr>
          <w:rFonts w:ascii="Times New Roman" w:hAnsi="Times New Roman" w:cs="Times New Roman"/>
          <w:b/>
        </w:rPr>
        <w:t>йки</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D776F0">
        <w:rPr>
          <w:rFonts w:ascii="Times New Roman" w:eastAsia="Times New Roman" w:hAnsi="Times New Roman" w:cs="Times New Roman"/>
          <w:b/>
        </w:rPr>
        <w:t>шоколад, мармелад</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42C7E" w:rsidRPr="00BB10AF" w:rsidRDefault="00C42C7E" w:rsidP="00C42C7E">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B10AF">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C42C7E" w:rsidRPr="00E776C1" w:rsidRDefault="00C42C7E" w:rsidP="00C42C7E">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C42C7E" w:rsidRPr="00E776C1" w:rsidRDefault="00C42C7E" w:rsidP="00C42C7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42C7E" w:rsidRPr="00E776C1" w:rsidRDefault="00C42C7E" w:rsidP="00C42C7E">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42C7E" w:rsidRPr="00E776C1" w:rsidRDefault="00C42C7E" w:rsidP="00C42C7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42C7E" w:rsidRPr="00E776C1" w:rsidRDefault="00C42C7E" w:rsidP="00C42C7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C42C7E" w:rsidRPr="00E776C1" w:rsidRDefault="00C42C7E" w:rsidP="00C42C7E">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C42C7E" w:rsidRPr="00E776C1" w:rsidRDefault="00C42C7E" w:rsidP="00C42C7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У</w:t>
      </w:r>
      <w:r w:rsidRPr="000B4A59">
        <w:rPr>
          <w:rFonts w:ascii="Times New Roman" w:hAnsi="Times New Roman" w:cs="Times New Roman"/>
          <w:b/>
        </w:rPr>
        <w:t>стан</w:t>
      </w:r>
      <w:r w:rsidRPr="00E776C1">
        <w:rPr>
          <w:rFonts w:ascii="Times New Roman" w:hAnsi="Times New Roman" w:cs="Times New Roman"/>
          <w:b/>
        </w:rPr>
        <w:t>овлено;</w:t>
      </w:r>
    </w:p>
    <w:p w:rsidR="00C42C7E" w:rsidRDefault="00C42C7E" w:rsidP="00C42C7E">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C42C7E" w:rsidRDefault="00C42C7E" w:rsidP="00C42C7E">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42C7E" w:rsidRPr="00CF3E97" w:rsidRDefault="00C42C7E" w:rsidP="00C42C7E">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Pr="00CF3E97">
        <w:rPr>
          <w:rFonts w:ascii="Times New Roman" w:hAnsi="Times New Roman" w:cs="Times New Roman"/>
          <w:b/>
        </w:rPr>
        <w:t xml:space="preserve"> </w:t>
      </w:r>
      <w:r>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4531F8" w:rsidRPr="00542A62" w:rsidRDefault="00A254D8" w:rsidP="00AE437C">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43D58"/>
    <w:rsid w:val="00051A09"/>
    <w:rsid w:val="00052630"/>
    <w:rsid w:val="00054052"/>
    <w:rsid w:val="00057299"/>
    <w:rsid w:val="00070D1A"/>
    <w:rsid w:val="00085FF7"/>
    <w:rsid w:val="00090535"/>
    <w:rsid w:val="000940FE"/>
    <w:rsid w:val="00096D2E"/>
    <w:rsid w:val="000B4A59"/>
    <w:rsid w:val="000B5445"/>
    <w:rsid w:val="000E2980"/>
    <w:rsid w:val="000E33BD"/>
    <w:rsid w:val="000E5F64"/>
    <w:rsid w:val="000E6875"/>
    <w:rsid w:val="000F2C69"/>
    <w:rsid w:val="000F75DB"/>
    <w:rsid w:val="00106B5B"/>
    <w:rsid w:val="0011452B"/>
    <w:rsid w:val="00132E54"/>
    <w:rsid w:val="00133721"/>
    <w:rsid w:val="001404F4"/>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41BA"/>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B6084"/>
    <w:rsid w:val="002C1524"/>
    <w:rsid w:val="002E4EBA"/>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AC0"/>
    <w:rsid w:val="004831AF"/>
    <w:rsid w:val="0049093B"/>
    <w:rsid w:val="00496F6B"/>
    <w:rsid w:val="004B0AE5"/>
    <w:rsid w:val="004E121E"/>
    <w:rsid w:val="004E4843"/>
    <w:rsid w:val="004E7357"/>
    <w:rsid w:val="004F1D69"/>
    <w:rsid w:val="004F20FA"/>
    <w:rsid w:val="004F523F"/>
    <w:rsid w:val="004F59CB"/>
    <w:rsid w:val="00504A81"/>
    <w:rsid w:val="0051216A"/>
    <w:rsid w:val="00520F10"/>
    <w:rsid w:val="00542A62"/>
    <w:rsid w:val="00553D3E"/>
    <w:rsid w:val="0056088D"/>
    <w:rsid w:val="00580E3A"/>
    <w:rsid w:val="00586AD4"/>
    <w:rsid w:val="00594658"/>
    <w:rsid w:val="005A1025"/>
    <w:rsid w:val="005A5A31"/>
    <w:rsid w:val="005B05C1"/>
    <w:rsid w:val="005B2DBB"/>
    <w:rsid w:val="005D0F37"/>
    <w:rsid w:val="005D173F"/>
    <w:rsid w:val="005E097E"/>
    <w:rsid w:val="005F10A9"/>
    <w:rsid w:val="005F1D93"/>
    <w:rsid w:val="005F6FEA"/>
    <w:rsid w:val="00606D43"/>
    <w:rsid w:val="006163A0"/>
    <w:rsid w:val="00621176"/>
    <w:rsid w:val="00622F31"/>
    <w:rsid w:val="0064479A"/>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06BFE"/>
    <w:rsid w:val="0071103C"/>
    <w:rsid w:val="00712FE2"/>
    <w:rsid w:val="00716A70"/>
    <w:rsid w:val="00716C26"/>
    <w:rsid w:val="0073354C"/>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4D14"/>
    <w:rsid w:val="00845AF7"/>
    <w:rsid w:val="00851DFB"/>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536B9"/>
    <w:rsid w:val="00967392"/>
    <w:rsid w:val="00970E5F"/>
    <w:rsid w:val="0097670C"/>
    <w:rsid w:val="00985AD9"/>
    <w:rsid w:val="00985B40"/>
    <w:rsid w:val="0099007D"/>
    <w:rsid w:val="00992EA4"/>
    <w:rsid w:val="00993BF4"/>
    <w:rsid w:val="009C148B"/>
    <w:rsid w:val="009C14E4"/>
    <w:rsid w:val="009D4AE6"/>
    <w:rsid w:val="009D6CB3"/>
    <w:rsid w:val="009F250B"/>
    <w:rsid w:val="00A10E3E"/>
    <w:rsid w:val="00A14AD6"/>
    <w:rsid w:val="00A15F33"/>
    <w:rsid w:val="00A254D8"/>
    <w:rsid w:val="00A37EF3"/>
    <w:rsid w:val="00A457F4"/>
    <w:rsid w:val="00A53012"/>
    <w:rsid w:val="00A545B6"/>
    <w:rsid w:val="00A64537"/>
    <w:rsid w:val="00A663DB"/>
    <w:rsid w:val="00A76CB8"/>
    <w:rsid w:val="00A76D38"/>
    <w:rsid w:val="00A80981"/>
    <w:rsid w:val="00A815DC"/>
    <w:rsid w:val="00A85696"/>
    <w:rsid w:val="00A9087C"/>
    <w:rsid w:val="00AA0820"/>
    <w:rsid w:val="00AA1E22"/>
    <w:rsid w:val="00AA63A4"/>
    <w:rsid w:val="00AB1DDE"/>
    <w:rsid w:val="00AB1EA9"/>
    <w:rsid w:val="00AB34EF"/>
    <w:rsid w:val="00AB3661"/>
    <w:rsid w:val="00AD4123"/>
    <w:rsid w:val="00AD73B7"/>
    <w:rsid w:val="00AE437C"/>
    <w:rsid w:val="00AE70C6"/>
    <w:rsid w:val="00AF20DB"/>
    <w:rsid w:val="00AF6651"/>
    <w:rsid w:val="00B10CD3"/>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42C7E"/>
    <w:rsid w:val="00C52BB9"/>
    <w:rsid w:val="00C71368"/>
    <w:rsid w:val="00C87014"/>
    <w:rsid w:val="00C93BC2"/>
    <w:rsid w:val="00C94710"/>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36C5"/>
    <w:rsid w:val="00D56496"/>
    <w:rsid w:val="00D622D0"/>
    <w:rsid w:val="00D67EC9"/>
    <w:rsid w:val="00D77528"/>
    <w:rsid w:val="00D776F0"/>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C5DE7"/>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146"/>
    <w:rsid w:val="00FB0BA3"/>
    <w:rsid w:val="00FB6B69"/>
    <w:rsid w:val="00FC49DF"/>
    <w:rsid w:val="00FE22DE"/>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4A58-DB97-42FC-B200-E05FC347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3712</Words>
  <Characters>21162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22</cp:revision>
  <cp:lastPrinted>2020-05-18T06:20:00Z</cp:lastPrinted>
  <dcterms:created xsi:type="dcterms:W3CDTF">2020-01-22T06:14:00Z</dcterms:created>
  <dcterms:modified xsi:type="dcterms:W3CDTF">2020-06-22T05:12:00Z</dcterms:modified>
</cp:coreProperties>
</file>