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>автомобильного бензина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122A1" w:rsidRPr="004122A1">
        <w:rPr>
          <w:lang w:eastAsia="ar-SA"/>
        </w:rPr>
        <w:t xml:space="preserve">круглосуточно </w:t>
      </w:r>
      <w:proofErr w:type="gramStart"/>
      <w:r w:rsidR="004122A1" w:rsidRPr="004122A1">
        <w:rPr>
          <w:lang w:eastAsia="ar-SA"/>
        </w:rPr>
        <w:t>с даты заключения</w:t>
      </w:r>
      <w:proofErr w:type="gramEnd"/>
      <w:r w:rsidR="004122A1" w:rsidRPr="004122A1">
        <w:rPr>
          <w:lang w:eastAsia="ar-SA"/>
        </w:rPr>
        <w:t xml:space="preserve"> контракта по 30 сентября 2021 года.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</w:t>
      </w:r>
      <w:r w:rsidR="00C04C9C" w:rsidRPr="00C04C9C">
        <w:t>Расчет за поставленный товар осуществляется ежемесячно, по факту поставленного товара в течение 30 дней со дня подписания Заказчиком товарной накладной или УПД, составленного на основании Отчета (реестра операций по картам) полученного из данных с учетных терминалов, и (или) выписки по лицевому счету.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 xml:space="preserve">4. Место </w:t>
      </w:r>
      <w:bookmarkStart w:id="2" w:name="_GoBack"/>
      <w:bookmarkEnd w:id="2"/>
      <w:r w:rsidRPr="00B45DDE">
        <w:rPr>
          <w:b/>
          <w:lang w:eastAsia="ar-SA"/>
        </w:rPr>
        <w:t>поставки:</w:t>
      </w:r>
      <w:r w:rsidRPr="00B45DDE">
        <w:t xml:space="preserve"> </w:t>
      </w:r>
      <w:r w:rsidR="00F03CB8" w:rsidRPr="00F03CB8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F03CB8" w:rsidRPr="00F03CB8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154669">
        <w:t>.</w:t>
      </w:r>
      <w:proofErr w:type="gramEnd"/>
    </w:p>
    <w:p w:rsidR="00CE3967" w:rsidRDefault="00CE3967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54669"/>
    <w:rsid w:val="00255DB1"/>
    <w:rsid w:val="004122A1"/>
    <w:rsid w:val="004C322C"/>
    <w:rsid w:val="004F4D7B"/>
    <w:rsid w:val="00737C98"/>
    <w:rsid w:val="009F3A11"/>
    <w:rsid w:val="00B32476"/>
    <w:rsid w:val="00B66F68"/>
    <w:rsid w:val="00C04C9C"/>
    <w:rsid w:val="00CE3967"/>
    <w:rsid w:val="00DA6548"/>
    <w:rsid w:val="00E06008"/>
    <w:rsid w:val="00F0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 Виктор Юрьевич</dc:creator>
  <cp:keywords/>
  <dc:description/>
  <cp:lastModifiedBy>Овечкин Виктор Юрьевич</cp:lastModifiedBy>
  <cp:revision>13</cp:revision>
  <cp:lastPrinted>2021-05-25T04:03:00Z</cp:lastPrinted>
  <dcterms:created xsi:type="dcterms:W3CDTF">2019-11-11T11:48:00Z</dcterms:created>
  <dcterms:modified xsi:type="dcterms:W3CDTF">2021-05-25T04:04:00Z</dcterms:modified>
</cp:coreProperties>
</file>