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47" w:rsidRDefault="004E3347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Ref353191193"/>
    </w:p>
    <w:p w:rsidR="004E3347" w:rsidRPr="004B55FD" w:rsidRDefault="004E3347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55FD"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 w:rsidRPr="004B55F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bookmarkEnd w:id="0"/>
      <w:r w:rsidRPr="004B5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Метод определения начальной максимальной цены: метод сопоставления рыночных цен.</w:t>
      </w:r>
    </w:p>
    <w:tbl>
      <w:tblPr>
        <w:tblW w:w="9662" w:type="dxa"/>
        <w:tblInd w:w="85" w:type="dxa"/>
        <w:tblLayout w:type="fixed"/>
        <w:tblLook w:val="04A0"/>
      </w:tblPr>
      <w:tblGrid>
        <w:gridCol w:w="1866"/>
        <w:gridCol w:w="1418"/>
        <w:gridCol w:w="1417"/>
        <w:gridCol w:w="1559"/>
        <w:gridCol w:w="1276"/>
        <w:gridCol w:w="2126"/>
      </w:tblGrid>
      <w:tr w:rsidR="004E3347" w:rsidRPr="004B55FD" w:rsidTr="00574AFF">
        <w:trPr>
          <w:trHeight w:val="364"/>
        </w:trPr>
        <w:tc>
          <w:tcPr>
            <w:tcW w:w="186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Начальная цена, рублей</w:t>
            </w:r>
          </w:p>
        </w:tc>
      </w:tr>
      <w:tr w:rsidR="004E3347" w:rsidRPr="004B55FD" w:rsidTr="00574AFF">
        <w:trPr>
          <w:trHeight w:val="348"/>
        </w:trPr>
        <w:tc>
          <w:tcPr>
            <w:tcW w:w="186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</w:rPr>
            </w:pPr>
            <w:r w:rsidRPr="004B55F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</w:rPr>
            </w:pPr>
            <w:r w:rsidRPr="004B55FD">
              <w:rPr>
                <w:color w:val="000000"/>
              </w:rPr>
              <w:t> </w:t>
            </w:r>
          </w:p>
        </w:tc>
      </w:tr>
      <w:tr w:rsidR="004E3347" w:rsidRPr="004B55FD" w:rsidTr="00574AFF">
        <w:trPr>
          <w:trHeight w:val="285"/>
        </w:trPr>
        <w:tc>
          <w:tcPr>
            <w:tcW w:w="1866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5670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4B55FD">
              <w:rPr>
                <w:bCs/>
                <w:color w:val="000000"/>
                <w:sz w:val="18"/>
                <w:szCs w:val="18"/>
              </w:rPr>
              <w:t>Оказание услуг по лицензионному обслуживанию программного продукта «Парус-Бюджет 8»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3347" w:rsidRPr="004B55FD" w:rsidTr="00574AFF">
        <w:trPr>
          <w:trHeight w:val="2410"/>
        </w:trPr>
        <w:tc>
          <w:tcPr>
            <w:tcW w:w="1866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Оказание услуг по лицензионному обслуживанию программного продукта "ПАРУС-Бюджет 8" включает в себя:</w:t>
            </w:r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- предоставление универсальной лицензии программного продукта (далее ПП) «ПАРУС-Бюджет 8» для работы с модулями «Бухгалтерский учёт» и «Расчёт заработной платы» ПП «ПАРУС-Бюджет 8» в количестве 16 шт. сроком на 1 год.</w:t>
            </w:r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- лицензионное обслуживание в течение 12 месяцев с даты подписания акта оказанных услуг, включающее в себя:    </w:t>
            </w:r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     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4E3347" w:rsidRPr="004B55FD" w:rsidRDefault="004E3347" w:rsidP="00574AFF">
            <w:pPr>
              <w:spacing w:after="0"/>
              <w:rPr>
                <w:iCs/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    Получение обновлений ПП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</w:t>
            </w:r>
            <w:proofErr w:type="spellStart"/>
            <w:r w:rsidRPr="004B55FD">
              <w:rPr>
                <w:color w:val="000000"/>
                <w:sz w:val="18"/>
                <w:szCs w:val="18"/>
              </w:rPr>
              <w:t>Югра</w:t>
            </w:r>
            <w:proofErr w:type="spellEnd"/>
            <w:r w:rsidRPr="004B55FD">
              <w:rPr>
                <w:color w:val="000000"/>
                <w:sz w:val="18"/>
                <w:szCs w:val="18"/>
              </w:rPr>
              <w:t xml:space="preserve">) или расширением функциональных возможностей ПП. Обновления предоставляются по мере выхода, на усмотрение Исполнителя, в виде новых версий, либо в виде редакций (релизов) ПП. Обновления ПП передаются Заказчику путём предоставления доступа к FTP-серверу Исполнителя для их скачивания, с описанием процедуры установки обновления. Ссылка на пакет обновлений высылается на электронную почту </w:t>
            </w:r>
            <w:hyperlink r:id="rId6" w:history="1">
              <w:r w:rsidRPr="004B55FD">
                <w:rPr>
                  <w:rStyle w:val="a6"/>
                  <w:color w:val="000000"/>
                  <w:sz w:val="18"/>
                  <w:szCs w:val="18"/>
                  <w:shd w:val="clear" w:color="auto" w:fill="FFFFFF"/>
                </w:rPr>
                <w:t>ugorckcbuo@mail.ru</w:t>
              </w:r>
            </w:hyperlink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     Консультации по использованию экземпляров ПП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4E3347" w:rsidRPr="004B55FD" w:rsidTr="00574AFF">
        <w:trPr>
          <w:trHeight w:val="282"/>
        </w:trPr>
        <w:tc>
          <w:tcPr>
            <w:tcW w:w="1866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 xml:space="preserve">Кол-во оказываемых услуг/единица измерения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1усл. 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3347" w:rsidRPr="004B55FD" w:rsidTr="00574AFF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Цена услуги*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460 200,00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459 800,00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460 000,00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4E3347" w:rsidRPr="004B55FD" w:rsidRDefault="004E3347" w:rsidP="00574AFF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3347" w:rsidRPr="004B55FD" w:rsidTr="00574AFF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4B55FD">
              <w:rPr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460 200,00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459 800,00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460 000,00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3347" w:rsidRPr="004B55FD" w:rsidRDefault="004E3347" w:rsidP="00574AFF">
            <w:pPr>
              <w:rPr>
                <w:color w:val="000000"/>
              </w:rPr>
            </w:pPr>
            <w:r w:rsidRPr="004B55FD">
              <w:rPr>
                <w:color w:val="000000"/>
                <w:sz w:val="20"/>
                <w:szCs w:val="20"/>
              </w:rPr>
              <w:t>460 000,00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4E3347" w:rsidRPr="004B55FD" w:rsidRDefault="004E3347" w:rsidP="00574AFF">
            <w:pPr>
              <w:rPr>
                <w:color w:val="000000"/>
              </w:rPr>
            </w:pPr>
            <w:r w:rsidRPr="004B55FD">
              <w:rPr>
                <w:b/>
                <w:color w:val="000000"/>
                <w:sz w:val="20"/>
                <w:szCs w:val="20"/>
              </w:rPr>
              <w:t>460 000,00</w:t>
            </w:r>
          </w:p>
        </w:tc>
      </w:tr>
      <w:tr w:rsidR="004E3347" w:rsidRPr="004B55FD" w:rsidTr="00574AFF">
        <w:trPr>
          <w:trHeight w:val="557"/>
        </w:trPr>
        <w:tc>
          <w:tcPr>
            <w:tcW w:w="9662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4B55FD">
              <w:rPr>
                <w:b/>
                <w:color w:val="000000"/>
                <w:sz w:val="20"/>
                <w:szCs w:val="20"/>
              </w:rPr>
              <w:t xml:space="preserve">Начальная (максимальная) цена контракта </w:t>
            </w:r>
            <w:r w:rsidRPr="004B55FD">
              <w:rPr>
                <w:b/>
                <w:snapToGrid w:val="0"/>
                <w:color w:val="000000"/>
                <w:sz w:val="20"/>
                <w:szCs w:val="20"/>
              </w:rPr>
              <w:t>460 000 (Четыреста шестьдесят тысяч) рублей 00 копеек.</w:t>
            </w:r>
          </w:p>
          <w:p w:rsidR="004E3347" w:rsidRPr="004B55FD" w:rsidRDefault="004E3347" w:rsidP="00574AFF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- Коммерческое предложение № 2703/1 от 27.03.2020 г.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- Коммерческое предложение № 36 от 27.03.2020 г.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- Коммерческое предложение № 13 от 26.03.2020 г.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Контрактный управляющий 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Захарова Ю.Г.</w:t>
      </w:r>
    </w:p>
    <w:p w:rsidR="004E3347" w:rsidRPr="004B55FD" w:rsidRDefault="004E3347" w:rsidP="004E3347">
      <w:pPr>
        <w:rPr>
          <w:color w:val="000000"/>
        </w:rPr>
      </w:pPr>
    </w:p>
    <w:p w:rsidR="005D6714" w:rsidRDefault="005D6714"/>
    <w:sectPr w:rsidR="005D6714" w:rsidSect="003D5076">
      <w:footerReference w:type="even" r:id="rId7"/>
      <w:footerReference w:type="default" r:id="rId8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15D" w:rsidRDefault="001A415D" w:rsidP="005352EB">
      <w:pPr>
        <w:spacing w:after="0"/>
      </w:pPr>
      <w:r>
        <w:separator/>
      </w:r>
    </w:p>
  </w:endnote>
  <w:endnote w:type="continuationSeparator" w:id="0">
    <w:p w:rsidR="001A415D" w:rsidRDefault="001A415D" w:rsidP="005352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8" w:rsidRDefault="005352E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018" w:rsidRDefault="001A415D" w:rsidP="003D5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8" w:rsidRDefault="005352E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3347">
      <w:rPr>
        <w:rStyle w:val="a5"/>
        <w:noProof/>
      </w:rPr>
      <w:t>27</w:t>
    </w:r>
    <w:r>
      <w:rPr>
        <w:rStyle w:val="a5"/>
      </w:rPr>
      <w:fldChar w:fldCharType="end"/>
    </w:r>
  </w:p>
  <w:p w:rsidR="00C15018" w:rsidRDefault="001A415D" w:rsidP="003D5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15D" w:rsidRDefault="001A415D" w:rsidP="005352EB">
      <w:pPr>
        <w:spacing w:after="0"/>
      </w:pPr>
      <w:r>
        <w:separator/>
      </w:r>
    </w:p>
  </w:footnote>
  <w:footnote w:type="continuationSeparator" w:id="0">
    <w:p w:rsidR="001A415D" w:rsidRDefault="001A415D" w:rsidP="005352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347"/>
    <w:rsid w:val="001A415D"/>
    <w:rsid w:val="004E3347"/>
    <w:rsid w:val="005352EB"/>
    <w:rsid w:val="005D6714"/>
    <w:rsid w:val="0061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4E33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3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3347"/>
  </w:style>
  <w:style w:type="character" w:styleId="a6">
    <w:name w:val="Hyperlink"/>
    <w:rsid w:val="004E3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orckcbu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CB-165</dc:creator>
  <cp:lastModifiedBy>CB-165</cp:lastModifiedBy>
  <cp:revision>2</cp:revision>
  <dcterms:created xsi:type="dcterms:W3CDTF">2020-04-22T13:20:00Z</dcterms:created>
  <dcterms:modified xsi:type="dcterms:W3CDTF">2020-05-07T08:20:00Z</dcterms:modified>
</cp:coreProperties>
</file>