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6D" w:rsidRDefault="00B15C6D" w:rsidP="00B15C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B15C6D" w:rsidRDefault="00B15C6D" w:rsidP="00B15C6D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B15C6D" w:rsidRDefault="00B15C6D" w:rsidP="00B15C6D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B15C6D" w:rsidRDefault="00B15C6D" w:rsidP="00B15C6D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B15C6D" w:rsidRDefault="00B15C6D" w:rsidP="00B15C6D">
      <w:pPr>
        <w:ind w:left="-993"/>
        <w:jc w:val="both"/>
        <w:rPr>
          <w:rFonts w:ascii="PT Serif" w:hAnsi="PT Serif"/>
          <w:sz w:val="24"/>
        </w:rPr>
      </w:pPr>
    </w:p>
    <w:p w:rsidR="00B15C6D" w:rsidRDefault="00B15C6D" w:rsidP="00B15C6D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«24» марта 2020 г.                                                                           </w:t>
      </w:r>
      <w:r>
        <w:rPr>
          <w:rFonts w:ascii="PT Serif" w:hAnsi="PT Serif"/>
          <w:sz w:val="24"/>
        </w:rPr>
        <w:t xml:space="preserve">           № 0187300005820000080</w:t>
      </w:r>
      <w:r>
        <w:rPr>
          <w:rFonts w:ascii="PT Serif" w:hAnsi="PT Serif"/>
          <w:sz w:val="24"/>
        </w:rPr>
        <w:t>-1</w:t>
      </w:r>
    </w:p>
    <w:p w:rsidR="00B15C6D" w:rsidRDefault="00B15C6D" w:rsidP="00B15C6D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15C6D" w:rsidRDefault="00B15C6D" w:rsidP="00B15C6D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15C6D" w:rsidRDefault="00B15C6D" w:rsidP="00B15C6D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  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</w:t>
      </w:r>
      <w:proofErr w:type="gramEnd"/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15C6D" w:rsidRDefault="00B15C6D" w:rsidP="00B15C6D">
      <w:pPr>
        <w:pStyle w:val="a5"/>
        <w:widowControl/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15C6D" w:rsidRDefault="00B15C6D" w:rsidP="00B15C6D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15C6D" w:rsidRDefault="00B15C6D" w:rsidP="00B15C6D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15C6D" w:rsidRDefault="00B15C6D" w:rsidP="00B15C6D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B15C6D" w:rsidRDefault="00B15C6D" w:rsidP="00B15C6D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15C6D" w:rsidRDefault="00B15C6D" w:rsidP="00B15C6D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15C6D" w:rsidRDefault="00B15C6D" w:rsidP="00B15C6D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15C6D" w:rsidRDefault="00B15C6D" w:rsidP="00B15C6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B15C6D">
        <w:rPr>
          <w:rFonts w:ascii="PT Astra Serif" w:hAnsi="PT Astra Serif"/>
          <w:spacing w:val="-6"/>
          <w:sz w:val="24"/>
          <w:szCs w:val="24"/>
        </w:rPr>
        <w:t>Лекомцева</w:t>
      </w:r>
      <w:proofErr w:type="spellEnd"/>
      <w:r w:rsidRPr="00B15C6D">
        <w:rPr>
          <w:rFonts w:ascii="PT Astra Serif" w:hAnsi="PT Astra Serif"/>
          <w:spacing w:val="-6"/>
          <w:sz w:val="24"/>
          <w:szCs w:val="24"/>
        </w:rPr>
        <w:t xml:space="preserve"> Екатерина Алексеевна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B15C6D">
        <w:rPr>
          <w:rFonts w:ascii="PT Astra Serif" w:hAnsi="PT Astra Serif"/>
          <w:spacing w:val="-6"/>
          <w:sz w:val="24"/>
          <w:szCs w:val="24"/>
        </w:rPr>
        <w:t>ведущий специалист МКУ «ЦМТиИМО»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B15C6D" w:rsidRPr="00B15C6D" w:rsidRDefault="00B15C6D" w:rsidP="00B15C6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1. Наименование аукциона: аукцион в электро</w:t>
      </w:r>
      <w:r>
        <w:rPr>
          <w:rFonts w:ascii="PT Astra Serif" w:hAnsi="PT Astra Serif"/>
          <w:sz w:val="24"/>
        </w:rPr>
        <w:t>нной форме № 0187300005820000080</w:t>
      </w:r>
      <w:r>
        <w:rPr>
          <w:rFonts w:ascii="PT Astra Serif" w:hAnsi="PT Astra Serif"/>
          <w:sz w:val="24"/>
        </w:rPr>
        <w:t xml:space="preserve"> </w:t>
      </w:r>
      <w:r w:rsidRPr="00B15C6D">
        <w:rPr>
          <w:rFonts w:ascii="PT Astra Serif" w:hAnsi="PT Astra Serif"/>
          <w:sz w:val="24"/>
        </w:rPr>
        <w:t>среди субъектов малого предпринимательства, социально ориентированных некоммерческих организаций на право заключения муниципального контракта на оказание услуг по сопровождению информационно-аналитических систем «Аверс» для управлен</w:t>
      </w:r>
      <w:r w:rsidRPr="00B15C6D">
        <w:rPr>
          <w:rFonts w:ascii="PT Astra Serif" w:hAnsi="PT Astra Serif"/>
          <w:sz w:val="24"/>
        </w:rPr>
        <w:t>ия деятельностью муниципалитета</w:t>
      </w:r>
      <w:r>
        <w:rPr>
          <w:rFonts w:ascii="PT Astra Serif" w:hAnsi="PT Astra Serif"/>
          <w:sz w:val="24"/>
        </w:rPr>
        <w:t>.</w:t>
      </w:r>
    </w:p>
    <w:p w:rsidR="00B15C6D" w:rsidRDefault="00B15C6D" w:rsidP="00B15C6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Номер извещения о проведении торгов на офици</w:t>
      </w:r>
      <w:bookmarkStart w:id="0" w:name="_GoBack"/>
      <w:bookmarkEnd w:id="0"/>
      <w:r>
        <w:rPr>
          <w:rFonts w:ascii="PT Astra Serif" w:hAnsi="PT Astra Serif"/>
          <w:sz w:val="24"/>
        </w:rPr>
        <w:t xml:space="preserve">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</w:rPr>
        <w:t xml:space="preserve">, код аукциона </w:t>
      </w:r>
      <w:r>
        <w:rPr>
          <w:rFonts w:ascii="PT Astra Serif" w:hAnsi="PT Astra Serif"/>
          <w:sz w:val="24"/>
          <w:szCs w:val="24"/>
        </w:rPr>
        <w:t>0187300005820000080, дата публикации 12</w:t>
      </w:r>
      <w:r>
        <w:rPr>
          <w:rFonts w:ascii="PT Astra Serif" w:hAnsi="PT Astra Serif"/>
          <w:sz w:val="24"/>
          <w:szCs w:val="24"/>
        </w:rPr>
        <w:t xml:space="preserve">.03.2020. </w:t>
      </w:r>
    </w:p>
    <w:p w:rsidR="00B15C6D" w:rsidRDefault="00B15C6D" w:rsidP="00B15C6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/>
        </w:rPr>
        <w:t xml:space="preserve"> </w:t>
      </w:r>
      <w:r>
        <w:t>203862201554386220100100250016311244</w:t>
      </w:r>
      <w:r>
        <w:rPr>
          <w:rFonts w:ascii="PT Astra Serif" w:hAnsi="PT Astra Serif"/>
          <w:sz w:val="24"/>
          <w:szCs w:val="24"/>
        </w:rPr>
        <w:t>.</w:t>
      </w:r>
    </w:p>
    <w:p w:rsidR="00B15C6D" w:rsidRDefault="00B15C6D" w:rsidP="00B15C6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2. Заказчик: </w:t>
      </w:r>
      <w:r w:rsidRPr="00B15C6D">
        <w:rPr>
          <w:rFonts w:ascii="PT Astra Serif" w:hAnsi="PT Astra Serif"/>
          <w:sz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</w:rPr>
        <w:t xml:space="preserve">. Почтовый адрес: 628260, г. Югорск, </w:t>
      </w:r>
      <w:r w:rsidRPr="00B15C6D">
        <w:rPr>
          <w:rFonts w:ascii="PT Astra Serif" w:hAnsi="PT Astra Serif"/>
          <w:sz w:val="24"/>
        </w:rPr>
        <w:t>ул. Геологов, 9</w:t>
      </w:r>
      <w:r>
        <w:rPr>
          <w:rFonts w:ascii="PT Astra Serif" w:hAnsi="PT Astra Serif"/>
          <w:sz w:val="24"/>
        </w:rPr>
        <w:t>, Ханты-Мансийский  автономный  округ-Югра, Тюменская область.</w:t>
      </w:r>
    </w:p>
    <w:p w:rsidR="00B15C6D" w:rsidRDefault="00B15C6D" w:rsidP="00B15C6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проведена комиссией в 10.00 часов 24 марта 2020 года, по адресу: ул. 40 лет Победы, 11, г. Югорск, Ханты-Мансийский  автономный  округ-Югра, Тюменская область.</w:t>
      </w:r>
    </w:p>
    <w:p w:rsidR="00B15C6D" w:rsidRDefault="00B15C6D" w:rsidP="00B15C6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4. </w:t>
      </w:r>
      <w:proofErr w:type="gramStart"/>
      <w:r>
        <w:rPr>
          <w:rFonts w:ascii="PT Astra Serif" w:hAnsi="PT Astra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</w:rPr>
        <w:t xml:space="preserve"> «23» марта 2020г. 10 часов 00 минут была подана: 1 (одна) заявка на уча</w:t>
      </w:r>
      <w:r>
        <w:rPr>
          <w:rFonts w:ascii="PT Astra Serif" w:hAnsi="PT Astra Serif"/>
          <w:sz w:val="24"/>
        </w:rPr>
        <w:t>стие в аукционе (под номером №40</w:t>
      </w:r>
      <w:r>
        <w:rPr>
          <w:rFonts w:ascii="PT Astra Serif" w:hAnsi="PT Astra Serif"/>
          <w:sz w:val="24"/>
        </w:rPr>
        <w:t>).</w:t>
      </w:r>
    </w:p>
    <w:p w:rsidR="00B15C6D" w:rsidRDefault="00B15C6D" w:rsidP="00B15C6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B15C6D" w:rsidRDefault="00B15C6D" w:rsidP="00B15C6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B15C6D" w:rsidRDefault="00B15C6D" w:rsidP="00B15C6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>
        <w:rPr>
          <w:rFonts w:ascii="PT Astra Serif" w:hAnsi="PT Astra Serif"/>
          <w:spacing w:val="-6"/>
          <w:sz w:val="24"/>
          <w:szCs w:val="24"/>
        </w:rPr>
        <w:t>40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B15C6D" w:rsidRDefault="00B15C6D" w:rsidP="00B15C6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649"/>
      </w:tblGrid>
      <w:tr w:rsidR="00B15C6D" w:rsidTr="00B15C6D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Идентификационный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>Наименование участника закупки</w:t>
            </w:r>
          </w:p>
        </w:tc>
      </w:tr>
      <w:tr w:rsidR="00B15C6D" w:rsidTr="00B15C6D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>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4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809"/>
            </w:tblGrid>
            <w:tr w:rsidR="00B15C6D" w:rsidTr="00B15C6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5C6D" w:rsidRDefault="00B15C6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7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5C6D" w:rsidRDefault="00B15C6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"ФИНПРОММАРКЕТ-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</w:rPr>
                    <w:t>XXI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</w:rPr>
                    <w:t>"</w:t>
                  </w:r>
                </w:p>
              </w:tc>
            </w:tr>
            <w:tr w:rsidR="00B15C6D" w:rsidTr="00B15C6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5C6D" w:rsidRDefault="00B15C6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7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5C6D" w:rsidRDefault="00B15C6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13.02.2019</w:t>
                  </w:r>
                </w:p>
              </w:tc>
            </w:tr>
            <w:tr w:rsidR="00B15C6D" w:rsidTr="00B15C6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5C6D" w:rsidRDefault="00B15C6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57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5C6D" w:rsidRDefault="00B15C6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7709284676</w:t>
                  </w:r>
                </w:p>
              </w:tc>
            </w:tr>
            <w:tr w:rsidR="00B15C6D" w:rsidTr="00B15C6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5C6D" w:rsidRDefault="00B15C6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  <w:p w:rsidR="00B15C6D" w:rsidRDefault="00B15C6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Юридический адрес</w:t>
                  </w:r>
                </w:p>
                <w:p w:rsidR="00B15C6D" w:rsidRDefault="00B15C6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Контактный телефон</w:t>
                  </w:r>
                </w:p>
                <w:p w:rsidR="00B15C6D" w:rsidRDefault="00B15C6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Контактное лицо</w:t>
                  </w:r>
                </w:p>
              </w:tc>
              <w:tc>
                <w:tcPr>
                  <w:tcW w:w="57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15C6D" w:rsidRDefault="00B15C6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770801001</w:t>
                  </w:r>
                </w:p>
                <w:p w:rsidR="00B15C6D" w:rsidRDefault="00B15C6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107140, Г МОСКВА77,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РУСАКОВСКАЯ, 13,</w:t>
                  </w:r>
                </w:p>
                <w:p w:rsidR="00B15C6D" w:rsidRDefault="00B15C6D">
                  <w:pPr>
                    <w:rPr>
                      <w:rFonts w:ascii="Calibri" w:hAnsi="Calibri"/>
                    </w:rPr>
                  </w:pPr>
                </w:p>
                <w:p w:rsidR="00B15C6D" w:rsidRPr="00B15C6D" w:rsidRDefault="00B15C6D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74959090360</w:t>
                  </w:r>
                </w:p>
                <w:p w:rsidR="00B15C6D" w:rsidRDefault="00B15C6D">
                  <w:pPr>
                    <w:rPr>
                      <w:rFonts w:ascii="Calibri" w:hAnsi="Calibri"/>
                    </w:rPr>
                  </w:pPr>
                </w:p>
                <w:p w:rsidR="00B15C6D" w:rsidRDefault="00B15C6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Лозицкий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Игорь Григорьевич</w:t>
                  </w:r>
                </w:p>
              </w:tc>
            </w:tr>
          </w:tbl>
          <w:p w:rsidR="00B15C6D" w:rsidRDefault="00B15C6D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B15C6D" w:rsidRDefault="00B15C6D" w:rsidP="00B15C6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B15C6D" w:rsidRDefault="00B15C6D" w:rsidP="00B15C6D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B15C6D" w:rsidRDefault="00B15C6D" w:rsidP="00B15C6D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B15C6D" w:rsidRDefault="00B15C6D" w:rsidP="00B15C6D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B15C6D" w:rsidRDefault="00B15C6D" w:rsidP="00B15C6D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739"/>
        <w:gridCol w:w="1418"/>
        <w:gridCol w:w="2268"/>
      </w:tblGrid>
      <w:tr w:rsidR="00B15C6D" w:rsidTr="00B15C6D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B15C6D" w:rsidTr="00B15C6D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6D" w:rsidRDefault="00B15C6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В.К.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Бандурин</w:t>
            </w:r>
            <w:proofErr w:type="spellEnd"/>
            <w:r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15C6D" w:rsidTr="00B15C6D">
        <w:trPr>
          <w:trHeight w:val="7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6D" w:rsidRDefault="00B15C6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В.А.Климин</w:t>
            </w:r>
            <w:proofErr w:type="spellEnd"/>
          </w:p>
        </w:tc>
      </w:tr>
      <w:tr w:rsidR="00B15C6D" w:rsidTr="00B15C6D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6D" w:rsidRDefault="00B15C6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Н.А. Морозова</w:t>
            </w:r>
          </w:p>
        </w:tc>
      </w:tr>
      <w:tr w:rsidR="00B15C6D" w:rsidTr="00B15C6D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6D" w:rsidRDefault="00B15C6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B15C6D" w:rsidTr="00B15C6D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6D" w:rsidRDefault="00B15C6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Резинкина</w:t>
            </w:r>
            <w:proofErr w:type="spellEnd"/>
          </w:p>
        </w:tc>
      </w:tr>
      <w:tr w:rsidR="00B15C6D" w:rsidTr="00B15C6D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6D" w:rsidRDefault="00B15C6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А.Т. Абдуллаев</w:t>
            </w:r>
          </w:p>
        </w:tc>
      </w:tr>
    </w:tbl>
    <w:p w:rsidR="00B15C6D" w:rsidRDefault="00B15C6D" w:rsidP="00B15C6D">
      <w:pPr>
        <w:ind w:left="-993"/>
        <w:jc w:val="both"/>
        <w:rPr>
          <w:rFonts w:ascii="PT Astra Serif" w:hAnsi="PT Astra Serif"/>
          <w:b/>
          <w:sz w:val="24"/>
          <w:szCs w:val="24"/>
        </w:rPr>
      </w:pPr>
    </w:p>
    <w:p w:rsidR="00B15C6D" w:rsidRDefault="00B15C6D" w:rsidP="00B15C6D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В.К. </w:t>
      </w:r>
      <w:proofErr w:type="spellStart"/>
      <w:r>
        <w:rPr>
          <w:rFonts w:ascii="PT Astra Serif" w:hAnsi="PT Astra Serif"/>
          <w:b/>
          <w:sz w:val="24"/>
          <w:szCs w:val="24"/>
        </w:rPr>
        <w:t>Бандурин</w:t>
      </w:r>
      <w:proofErr w:type="spellEnd"/>
    </w:p>
    <w:p w:rsidR="00B15C6D" w:rsidRDefault="00B15C6D" w:rsidP="00B15C6D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B15C6D" w:rsidRDefault="00B15C6D" w:rsidP="00B15C6D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                                                                                                                         </w:t>
      </w:r>
    </w:p>
    <w:p w:rsidR="00B15C6D" w:rsidRDefault="00B15C6D" w:rsidP="00B15C6D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B15C6D" w:rsidRDefault="00B15C6D" w:rsidP="00B15C6D">
      <w:pPr>
        <w:tabs>
          <w:tab w:val="left" w:pos="9923"/>
        </w:tabs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Т.И. 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B15C6D" w:rsidRDefault="00B15C6D" w:rsidP="00B15C6D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___________________Н.А. Морозова</w:t>
      </w:r>
    </w:p>
    <w:p w:rsidR="00B15C6D" w:rsidRDefault="00B15C6D" w:rsidP="00B15C6D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B15C6D" w:rsidRDefault="00B15C6D" w:rsidP="00B15C6D">
      <w:pPr>
        <w:ind w:left="284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___________________А.Т. Абдуллаев                                                                                  </w:t>
      </w:r>
    </w:p>
    <w:p w:rsidR="00B15C6D" w:rsidRDefault="00B15C6D" w:rsidP="00B15C6D">
      <w:pPr>
        <w:ind w:left="-993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color w:val="FF0000"/>
          <w:sz w:val="24"/>
          <w:szCs w:val="24"/>
        </w:rPr>
        <w:t xml:space="preserve">              </w:t>
      </w:r>
    </w:p>
    <w:p w:rsidR="00B15C6D" w:rsidRDefault="00B15C6D" w:rsidP="00B15C6D">
      <w:pPr>
        <w:ind w:left="-993"/>
        <w:rPr>
          <w:rFonts w:ascii="PT Astra Serif" w:hAnsi="PT Astra Serif"/>
          <w:color w:val="FF0000"/>
          <w:sz w:val="24"/>
          <w:szCs w:val="24"/>
        </w:rPr>
      </w:pPr>
    </w:p>
    <w:p w:rsidR="00B15C6D" w:rsidRDefault="00B15C6D" w:rsidP="00B15C6D">
      <w:pPr>
        <w:ind w:left="-993"/>
        <w:rPr>
          <w:rFonts w:ascii="PT Astra Serif" w:hAnsi="PT Astra Serif"/>
          <w:color w:val="FF0000"/>
          <w:sz w:val="24"/>
          <w:szCs w:val="24"/>
        </w:rPr>
      </w:pPr>
    </w:p>
    <w:p w:rsidR="00B15C6D" w:rsidRDefault="00B15C6D" w:rsidP="00B15C6D">
      <w:pPr>
        <w:rPr>
          <w:rFonts w:ascii="PT Astra Serif" w:hAnsi="PT Astra Serif"/>
          <w:color w:val="FF0000"/>
          <w:sz w:val="24"/>
        </w:rPr>
      </w:pPr>
      <w:r>
        <w:rPr>
          <w:rFonts w:ascii="PT Astra Serif" w:hAnsi="PT Astra Serif"/>
          <w:color w:val="FF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Представитель заказчика </w:t>
      </w:r>
      <w:r>
        <w:rPr>
          <w:rFonts w:ascii="PT Astra Serif" w:hAnsi="PT Astra Serif"/>
        </w:rPr>
        <w:t xml:space="preserve">                                                                                       ________________</w:t>
      </w:r>
      <w:r>
        <w:rPr>
          <w:rFonts w:ascii="PT Astra Serif" w:hAnsi="PT Astra Serif"/>
          <w:sz w:val="24"/>
        </w:rPr>
        <w:t xml:space="preserve">Е.А. </w:t>
      </w:r>
      <w:proofErr w:type="spellStart"/>
      <w:r>
        <w:rPr>
          <w:rFonts w:ascii="PT Astra Serif" w:hAnsi="PT Astra Serif"/>
          <w:sz w:val="24"/>
        </w:rPr>
        <w:t>Лекомцева</w:t>
      </w:r>
      <w:proofErr w:type="spellEnd"/>
      <w:r>
        <w:rPr>
          <w:rFonts w:ascii="PT Astra Serif" w:hAnsi="PT Astra Serif"/>
          <w:sz w:val="24"/>
        </w:rPr>
        <w:t xml:space="preserve"> </w:t>
      </w:r>
    </w:p>
    <w:p w:rsidR="00A01FAC" w:rsidRDefault="00A01FAC"/>
    <w:p w:rsidR="00B15C6D" w:rsidRDefault="00B15C6D"/>
    <w:p w:rsidR="00B15C6D" w:rsidRDefault="00B15C6D" w:rsidP="00B15C6D">
      <w:pPr>
        <w:ind w:right="-66"/>
        <w:jc w:val="right"/>
      </w:pPr>
    </w:p>
    <w:p w:rsidR="00B15C6D" w:rsidRDefault="00B15C6D" w:rsidP="00B15C6D">
      <w:pPr>
        <w:ind w:right="-66"/>
        <w:jc w:val="right"/>
      </w:pPr>
    </w:p>
    <w:p w:rsidR="00B15C6D" w:rsidRDefault="00B15C6D" w:rsidP="00B15C6D">
      <w:pPr>
        <w:ind w:right="-66"/>
        <w:jc w:val="right"/>
        <w:sectPr w:rsidR="00B15C6D" w:rsidSect="00B15C6D">
          <w:pgSz w:w="11906" w:h="16838"/>
          <w:pgMar w:top="426" w:right="850" w:bottom="284" w:left="709" w:header="708" w:footer="708" w:gutter="0"/>
          <w:cols w:space="708"/>
          <w:docGrid w:linePitch="360"/>
        </w:sectPr>
      </w:pPr>
    </w:p>
    <w:p w:rsidR="00B15C6D" w:rsidRDefault="00B15C6D" w:rsidP="00B15C6D">
      <w:pPr>
        <w:ind w:right="-66"/>
        <w:jc w:val="right"/>
      </w:pPr>
      <w:r>
        <w:lastRenderedPageBreak/>
        <w:t xml:space="preserve">  Приложение 1</w:t>
      </w:r>
    </w:p>
    <w:p w:rsidR="00B15C6D" w:rsidRDefault="00B15C6D" w:rsidP="00B15C6D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к </w:t>
      </w:r>
      <w:r>
        <w:rPr>
          <w:sz w:val="18"/>
          <w:szCs w:val="18"/>
        </w:rPr>
        <w:t>протоколу рассмотрения</w:t>
      </w:r>
    </w:p>
    <w:p w:rsidR="00B15C6D" w:rsidRDefault="00B15C6D" w:rsidP="00B15C6D">
      <w:pPr>
        <w:jc w:val="right"/>
        <w:rPr>
          <w:sz w:val="18"/>
          <w:szCs w:val="18"/>
        </w:rPr>
      </w:pPr>
      <w:r>
        <w:rPr>
          <w:sz w:val="18"/>
          <w:szCs w:val="18"/>
        </w:rPr>
        <w:t>единственной заявки</w:t>
      </w:r>
    </w:p>
    <w:p w:rsidR="00B15C6D" w:rsidRDefault="00B15C6D" w:rsidP="00B15C6D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на участие в аукционе в электронной форме</w:t>
      </w:r>
    </w:p>
    <w:p w:rsidR="00B15C6D" w:rsidRPr="00B15C6D" w:rsidRDefault="00B15C6D" w:rsidP="00B15C6D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от «24» марта  2020 г. № 0187300005820000080 -1</w:t>
      </w:r>
    </w:p>
    <w:p w:rsidR="00B15C6D" w:rsidRDefault="00B15C6D" w:rsidP="00B15C6D">
      <w:pPr>
        <w:jc w:val="center"/>
      </w:pPr>
      <w:r>
        <w:t xml:space="preserve">Таблица рассмотрения единственной заявки на участие </w:t>
      </w:r>
      <w:proofErr w:type="gramStart"/>
      <w:r>
        <w:t>в</w:t>
      </w:r>
      <w:proofErr w:type="gramEnd"/>
    </w:p>
    <w:p w:rsidR="00B15C6D" w:rsidRDefault="00B15C6D" w:rsidP="00B15C6D">
      <w:pPr>
        <w:jc w:val="center"/>
        <w:rPr>
          <w:bCs/>
        </w:rPr>
      </w:pPr>
      <w:proofErr w:type="gramStart"/>
      <w:r>
        <w:t>аукционе</w:t>
      </w:r>
      <w:proofErr w:type="gramEnd"/>
      <w:r>
        <w:t xml:space="preserve">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Оказание услуг по сопровождению информационно-аналитических систем «Аверс» для управления деятельностью муниципалитета,</w:t>
      </w:r>
    </w:p>
    <w:p w:rsidR="00B15C6D" w:rsidRDefault="00B15C6D" w:rsidP="00B15C6D">
      <w:pPr>
        <w:jc w:val="center"/>
      </w:pPr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tbl>
      <w:tblPr>
        <w:tblW w:w="158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6"/>
        <w:gridCol w:w="2976"/>
        <w:gridCol w:w="4108"/>
      </w:tblGrid>
      <w:tr w:rsidR="00B15C6D" w:rsidTr="00B15C6D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40</w:t>
            </w:r>
          </w:p>
          <w:p w:rsidR="00B15C6D" w:rsidRDefault="00B15C6D">
            <w:pPr>
              <w:widowControl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ФинПромМаркет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XXI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",        </w:t>
            </w:r>
          </w:p>
          <w:p w:rsidR="00B15C6D" w:rsidRDefault="00B15C6D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г. Москва</w:t>
            </w:r>
          </w:p>
        </w:tc>
      </w:tr>
      <w:tr w:rsidR="00B15C6D" w:rsidTr="00B15C6D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Pr="00B15C6D" w:rsidRDefault="00B15C6D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B15C6D">
              <w:rPr>
                <w:sz w:val="16"/>
                <w:szCs w:val="16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15C6D" w:rsidTr="00B15C6D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Pr="00B15C6D" w:rsidRDefault="00B15C6D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B15C6D"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15C6D" w:rsidTr="00B15C6D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Pr="00B15C6D" w:rsidRDefault="00B15C6D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B15C6D"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B15C6D"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B15C6D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5C6D">
              <w:rPr>
                <w:sz w:val="16"/>
                <w:szCs w:val="16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B15C6D"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15C6D"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 w:rsidRPr="00B15C6D"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15C6D" w:rsidTr="00B15C6D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Pr="00B15C6D" w:rsidRDefault="00B15C6D">
            <w:pPr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B15C6D"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B15C6D">
              <w:rPr>
                <w:sz w:val="16"/>
                <w:szCs w:val="16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B15C6D"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B15C6D" w:rsidRPr="00B15C6D" w:rsidRDefault="00B15C6D">
            <w:pPr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B15C6D">
              <w:rPr>
                <w:sz w:val="16"/>
                <w:szCs w:val="16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15C6D" w:rsidTr="00B15C6D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Pr="00B15C6D" w:rsidRDefault="00B15C6D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B15C6D">
              <w:rPr>
                <w:sz w:val="16"/>
                <w:szCs w:val="16"/>
                <w:lang w:eastAsia="en-US"/>
              </w:rPr>
              <w:t xml:space="preserve">5. </w:t>
            </w:r>
            <w:proofErr w:type="gramStart"/>
            <w:r w:rsidRPr="00B15C6D"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B15C6D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B15C6D"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</w:t>
            </w:r>
            <w:r w:rsidRPr="00B15C6D">
              <w:rPr>
                <w:sz w:val="16"/>
                <w:szCs w:val="16"/>
                <w:lang w:eastAsia="en-US"/>
              </w:rPr>
              <w:lastRenderedPageBreak/>
              <w:t xml:space="preserve">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B15C6D"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B15C6D"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B15C6D"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P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15C6D">
              <w:rPr>
                <w:color w:val="000000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P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15C6D"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B15C6D" w:rsidRP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15C6D"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15C6D" w:rsidTr="00B15C6D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Pr="00B15C6D" w:rsidRDefault="00B15C6D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B15C6D">
              <w:rPr>
                <w:sz w:val="16"/>
                <w:szCs w:val="16"/>
                <w:lang w:eastAsia="en-US"/>
              </w:rPr>
              <w:lastRenderedPageBreak/>
              <w:t>6.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B15C6D"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 w:rsidRPr="00B15C6D">
              <w:rPr>
                <w:sz w:val="16"/>
                <w:szCs w:val="16"/>
                <w:lang w:eastAsia="en-US"/>
              </w:rPr>
              <w:t xml:space="preserve"> 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Pr="00B15C6D" w:rsidRDefault="00B15C6D">
            <w:pPr>
              <w:widowControl/>
              <w:autoSpaceDE w:val="0"/>
              <w:autoSpaceDN w:val="0"/>
              <w:adjustRightInd w:val="0"/>
              <w:spacing w:line="276" w:lineRule="auto"/>
              <w:ind w:left="33"/>
              <w:jc w:val="both"/>
              <w:rPr>
                <w:sz w:val="16"/>
                <w:szCs w:val="16"/>
                <w:lang w:eastAsia="en-US"/>
              </w:rPr>
            </w:pPr>
            <w:r w:rsidRPr="00B15C6D">
              <w:rPr>
                <w:sz w:val="16"/>
                <w:szCs w:val="16"/>
                <w:lang w:eastAsia="en-US"/>
              </w:rPr>
              <w:t>Постановление Правительства Российской Федерации от 16.11.2015г.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P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15C6D">
              <w:rPr>
                <w:color w:val="000000"/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B15C6D" w:rsidTr="00B15C6D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B15C6D" w:rsidTr="00B15C6D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6D" w:rsidRDefault="00B15C6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 Принадлежность к субъектам малого предпринимательства и социально-ориентированных некоммерческих организаций</w:t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</w:p>
          <w:p w:rsidR="00B15C6D" w:rsidRDefault="00B15C6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B15C6D" w:rsidTr="00B15C6D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9. </w:t>
            </w:r>
            <w:r>
              <w:rPr>
                <w:color w:val="000000"/>
                <w:kern w:val="2"/>
                <w:sz w:val="18"/>
                <w:szCs w:val="18"/>
                <w:lang w:eastAsia="en-US"/>
              </w:rPr>
              <w:t>Принадлежность участника  закупки к офшорным компаниям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B15C6D" w:rsidTr="00B15C6D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C6D" w:rsidRDefault="00B15C6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</w:tr>
      <w:tr w:rsidR="00B15C6D" w:rsidTr="00B15C6D">
        <w:trPr>
          <w:trHeight w:val="203"/>
        </w:trPr>
        <w:tc>
          <w:tcPr>
            <w:tcW w:w="1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6D" w:rsidRDefault="00B15C6D">
            <w:pPr>
              <w:spacing w:after="6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11.  Начальная (максимальная) цена контракта 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—  </w:t>
            </w:r>
            <w:r>
              <w:rPr>
                <w:b/>
                <w:lang w:eastAsia="en-US"/>
              </w:rPr>
              <w:t xml:space="preserve">84 400,00 </w:t>
            </w:r>
            <w:r>
              <w:rPr>
                <w:b/>
                <w:bCs/>
                <w:sz w:val="18"/>
                <w:szCs w:val="18"/>
                <w:lang w:eastAsia="en-US"/>
              </w:rPr>
              <w:t>рублей.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6D" w:rsidRDefault="00B15C6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15C6D" w:rsidRDefault="00B15C6D">
      <w:pPr>
        <w:sectPr w:rsidR="00B15C6D" w:rsidSect="00B15C6D">
          <w:pgSz w:w="16838" w:h="11906" w:orient="landscape"/>
          <w:pgMar w:top="709" w:right="425" w:bottom="851" w:left="284" w:header="709" w:footer="709" w:gutter="0"/>
          <w:cols w:space="708"/>
          <w:docGrid w:linePitch="360"/>
        </w:sectPr>
      </w:pPr>
    </w:p>
    <w:p w:rsidR="00B15C6D" w:rsidRDefault="00B15C6D"/>
    <w:p w:rsidR="00B15C6D" w:rsidRDefault="00B15C6D"/>
    <w:sectPr w:rsidR="00B15C6D" w:rsidSect="00B15C6D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8A"/>
    <w:rsid w:val="00823F29"/>
    <w:rsid w:val="008C728A"/>
    <w:rsid w:val="009C1813"/>
    <w:rsid w:val="00A01FAC"/>
    <w:rsid w:val="00B15C6D"/>
    <w:rsid w:val="00BB75D2"/>
    <w:rsid w:val="00F00C8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15C6D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B15C6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B15C6D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F00C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00C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C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15C6D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B15C6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B15C6D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F00C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00C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C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cp:lastPrinted>2020-03-24T11:10:00Z</cp:lastPrinted>
  <dcterms:created xsi:type="dcterms:W3CDTF">2020-03-24T10:57:00Z</dcterms:created>
  <dcterms:modified xsi:type="dcterms:W3CDTF">2020-03-24T11:26:00Z</dcterms:modified>
</cp:coreProperties>
</file>