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A1" w:rsidRDefault="00857EA1" w:rsidP="00857EA1">
      <w:pPr>
        <w:jc w:val="center"/>
        <w:rPr>
          <w:b/>
          <w:sz w:val="24"/>
          <w:szCs w:val="24"/>
        </w:rPr>
      </w:pPr>
      <w:r>
        <w:rPr>
          <w:b/>
          <w:sz w:val="24"/>
          <w:szCs w:val="24"/>
        </w:rPr>
        <w:t>Муниципальное образование  городской округ – город Югорск</w:t>
      </w:r>
    </w:p>
    <w:p w:rsidR="00857EA1" w:rsidRDefault="00857EA1" w:rsidP="00857EA1">
      <w:pPr>
        <w:jc w:val="center"/>
        <w:rPr>
          <w:rFonts w:ascii="PT Serif" w:hAnsi="PT Serif"/>
          <w:b/>
          <w:sz w:val="24"/>
          <w:szCs w:val="24"/>
        </w:rPr>
      </w:pPr>
      <w:r>
        <w:rPr>
          <w:rFonts w:ascii="PT Serif" w:hAnsi="PT Serif"/>
          <w:b/>
          <w:sz w:val="24"/>
          <w:szCs w:val="24"/>
        </w:rPr>
        <w:t>Администрация города Югорска</w:t>
      </w:r>
    </w:p>
    <w:p w:rsidR="00857EA1" w:rsidRDefault="00857EA1" w:rsidP="00857EA1">
      <w:pPr>
        <w:jc w:val="center"/>
        <w:rPr>
          <w:rFonts w:ascii="PT Serif" w:hAnsi="PT Serif"/>
          <w:b/>
          <w:bCs/>
          <w:sz w:val="24"/>
          <w:szCs w:val="24"/>
        </w:rPr>
      </w:pPr>
      <w:r>
        <w:rPr>
          <w:rFonts w:ascii="PT Serif" w:hAnsi="PT Serif"/>
          <w:b/>
          <w:bCs/>
          <w:sz w:val="24"/>
          <w:szCs w:val="24"/>
        </w:rPr>
        <w:t>ПРОТОКОЛ</w:t>
      </w:r>
    </w:p>
    <w:p w:rsidR="00857EA1" w:rsidRDefault="00857EA1" w:rsidP="00857EA1">
      <w:pPr>
        <w:jc w:val="center"/>
        <w:rPr>
          <w:b/>
          <w:sz w:val="24"/>
          <w:szCs w:val="24"/>
        </w:rPr>
      </w:pPr>
      <w:r>
        <w:rPr>
          <w:b/>
          <w:sz w:val="24"/>
          <w:szCs w:val="24"/>
        </w:rPr>
        <w:t>рассмотрения заявок на участие в аукционе в электронной форме</w:t>
      </w:r>
    </w:p>
    <w:p w:rsidR="00857EA1" w:rsidRDefault="00857EA1" w:rsidP="00857EA1">
      <w:pPr>
        <w:ind w:left="-993"/>
        <w:jc w:val="both"/>
        <w:rPr>
          <w:rFonts w:ascii="PT Serif" w:hAnsi="PT Serif"/>
          <w:sz w:val="24"/>
        </w:rPr>
      </w:pPr>
    </w:p>
    <w:p w:rsidR="00857EA1" w:rsidRDefault="00857EA1" w:rsidP="00857EA1">
      <w:pPr>
        <w:jc w:val="both"/>
        <w:rPr>
          <w:rFonts w:ascii="PT Serif" w:hAnsi="PT Serif"/>
          <w:sz w:val="24"/>
        </w:rPr>
      </w:pPr>
      <w:r>
        <w:rPr>
          <w:rFonts w:ascii="PT Serif" w:hAnsi="PT Serif"/>
          <w:sz w:val="24"/>
        </w:rPr>
        <w:t>«09» июля 2019 г.                                                                                      № 0187300005819000224-1</w:t>
      </w:r>
    </w:p>
    <w:p w:rsidR="00857EA1" w:rsidRPr="003F031D" w:rsidRDefault="00857EA1" w:rsidP="00857EA1">
      <w:pPr>
        <w:tabs>
          <w:tab w:val="left" w:pos="284"/>
        </w:tabs>
        <w:ind w:right="284"/>
        <w:rPr>
          <w:rFonts w:ascii="PT Astra Serif" w:hAnsi="PT Astra Serif"/>
          <w:sz w:val="24"/>
          <w:szCs w:val="24"/>
        </w:rPr>
      </w:pPr>
      <w:r w:rsidRPr="003F031D">
        <w:rPr>
          <w:rFonts w:ascii="PT Astra Serif" w:hAnsi="PT Astra Serif"/>
          <w:sz w:val="24"/>
          <w:szCs w:val="24"/>
        </w:rPr>
        <w:t>ПРИСУТСТВОВАЛИ:</w:t>
      </w:r>
    </w:p>
    <w:p w:rsidR="00857EA1" w:rsidRPr="003F031D" w:rsidRDefault="00857EA1" w:rsidP="00857EA1">
      <w:pPr>
        <w:keepNext/>
        <w:keepLines/>
        <w:suppressLineNumbers/>
        <w:tabs>
          <w:tab w:val="num" w:pos="0"/>
        </w:tabs>
        <w:suppressAutoHyphens/>
        <w:jc w:val="both"/>
        <w:rPr>
          <w:rFonts w:ascii="PT Astra Serif" w:hAnsi="PT Astra Serif"/>
          <w:sz w:val="24"/>
          <w:szCs w:val="24"/>
        </w:rPr>
      </w:pPr>
      <w:r w:rsidRPr="003F031D">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57EA1" w:rsidRPr="003F031D" w:rsidRDefault="00857EA1" w:rsidP="00857EA1">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sidRPr="003F031D">
        <w:rPr>
          <w:rFonts w:ascii="PT Astra Serif" w:hAnsi="PT Astra Serif"/>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57EA1" w:rsidRPr="003F031D" w:rsidRDefault="00857EA1" w:rsidP="00857EA1">
      <w:pPr>
        <w:keepNext/>
        <w:keepLines/>
        <w:suppressLineNumbers/>
        <w:tabs>
          <w:tab w:val="num" w:pos="0"/>
        </w:tabs>
        <w:suppressAutoHyphens/>
        <w:jc w:val="both"/>
        <w:rPr>
          <w:rFonts w:ascii="PT Astra Serif" w:hAnsi="PT Astra Serif"/>
          <w:sz w:val="24"/>
          <w:szCs w:val="24"/>
        </w:rPr>
      </w:pPr>
      <w:r w:rsidRPr="003F031D">
        <w:rPr>
          <w:rFonts w:ascii="PT Astra Serif" w:hAnsi="PT Astra Serif"/>
          <w:sz w:val="24"/>
          <w:szCs w:val="24"/>
        </w:rPr>
        <w:t>Члены комиссии:</w:t>
      </w:r>
    </w:p>
    <w:p w:rsidR="00857EA1" w:rsidRPr="003F031D" w:rsidRDefault="00857EA1" w:rsidP="00857EA1">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sidRPr="003F031D">
        <w:rPr>
          <w:rFonts w:ascii="PT Astra Serif" w:hAnsi="PT Astra Serif"/>
        </w:rPr>
        <w:t>В.А. Климин – председатель Думы города Югорска;</w:t>
      </w:r>
    </w:p>
    <w:p w:rsidR="00857EA1" w:rsidRPr="003F031D" w:rsidRDefault="00857EA1" w:rsidP="00857EA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3F031D">
        <w:rPr>
          <w:rFonts w:ascii="PT Astra Serif" w:hAnsi="PT Astra Serif"/>
          <w:sz w:val="24"/>
          <w:szCs w:val="24"/>
        </w:rPr>
        <w:t>Н.А. Морозова – советник руководителя;</w:t>
      </w:r>
    </w:p>
    <w:p w:rsidR="00857EA1" w:rsidRPr="003F031D" w:rsidRDefault="00857EA1" w:rsidP="00857EA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3F031D">
        <w:rPr>
          <w:rFonts w:ascii="PT Astra Serif" w:hAnsi="PT Astra Serif"/>
          <w:sz w:val="24"/>
          <w:szCs w:val="24"/>
        </w:rPr>
        <w:t>Т.И. Долгодворова - заместитель главы города Югорска;</w:t>
      </w:r>
    </w:p>
    <w:p w:rsidR="00857EA1" w:rsidRPr="003F031D" w:rsidRDefault="00857EA1" w:rsidP="00857EA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3F031D">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7EA1" w:rsidRPr="003F031D" w:rsidRDefault="00857EA1" w:rsidP="00857EA1">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sidRPr="003F031D">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57EA1" w:rsidRPr="003F031D" w:rsidRDefault="00857EA1" w:rsidP="00857EA1">
      <w:pPr>
        <w:keepNext/>
        <w:keepLines/>
        <w:suppressLineNumbers/>
        <w:tabs>
          <w:tab w:val="num" w:pos="0"/>
        </w:tabs>
        <w:suppressAutoHyphens/>
        <w:jc w:val="both"/>
        <w:rPr>
          <w:rFonts w:ascii="PT Astra Serif" w:hAnsi="PT Astra Serif"/>
          <w:sz w:val="24"/>
          <w:szCs w:val="24"/>
        </w:rPr>
      </w:pPr>
      <w:r w:rsidRPr="003F031D">
        <w:rPr>
          <w:rFonts w:ascii="PT Astra Serif" w:hAnsi="PT Astra Serif"/>
          <w:sz w:val="24"/>
          <w:szCs w:val="24"/>
        </w:rPr>
        <w:t>Всего присутствовали 6 членов комиссии из 8.</w:t>
      </w:r>
    </w:p>
    <w:p w:rsidR="00857EA1" w:rsidRDefault="00857EA1" w:rsidP="00857EA1">
      <w:pPr>
        <w:widowControl/>
        <w:autoSpaceDE w:val="0"/>
        <w:autoSpaceDN w:val="0"/>
        <w:adjustRightInd w:val="0"/>
        <w:jc w:val="both"/>
        <w:rPr>
          <w:rFonts w:ascii="PT Astra Serif" w:hAnsi="PT Astra Serif"/>
          <w:sz w:val="24"/>
          <w:szCs w:val="24"/>
        </w:rPr>
      </w:pPr>
      <w:r w:rsidRPr="003F031D">
        <w:rPr>
          <w:rFonts w:ascii="PT Astra Serif" w:hAnsi="PT Astra Serif"/>
          <w:sz w:val="24"/>
          <w:szCs w:val="24"/>
        </w:rPr>
        <w:t xml:space="preserve">Представитель заказчика: </w:t>
      </w:r>
      <w:r w:rsidRPr="003F031D">
        <w:rPr>
          <w:sz w:val="22"/>
        </w:rPr>
        <w:t>Климова Ольга Евгеньевна</w:t>
      </w:r>
      <w:r w:rsidRPr="003F031D">
        <w:rPr>
          <w:rFonts w:ascii="PT Astra Serif" w:hAnsi="PT Astra Serif"/>
          <w:sz w:val="24"/>
          <w:szCs w:val="24"/>
        </w:rPr>
        <w:t xml:space="preserve">, </w:t>
      </w:r>
      <w:r w:rsidRPr="003F031D">
        <w:rPr>
          <w:sz w:val="22"/>
        </w:rPr>
        <w:t>специалист</w:t>
      </w:r>
      <w:r>
        <w:rPr>
          <w:sz w:val="22"/>
        </w:rPr>
        <w:t xml:space="preserve"> по закупкам МБОУ СОШР «Центр Югорского спорта»</w:t>
      </w:r>
    </w:p>
    <w:p w:rsidR="00857EA1" w:rsidRPr="00857EA1" w:rsidRDefault="00857EA1" w:rsidP="0079753F">
      <w:pPr>
        <w:widowControl/>
        <w:autoSpaceDE w:val="0"/>
        <w:autoSpaceDN w:val="0"/>
        <w:adjustRightInd w:val="0"/>
        <w:jc w:val="both"/>
        <w:rPr>
          <w:sz w:val="22"/>
          <w:szCs w:val="22"/>
          <w:u w:val="single"/>
        </w:rPr>
      </w:pPr>
      <w:r>
        <w:rPr>
          <w:rFonts w:ascii="PT Astra Serif" w:hAnsi="PT Astra Serif"/>
          <w:sz w:val="24"/>
          <w:szCs w:val="24"/>
        </w:rPr>
        <w:t xml:space="preserve">1. Наименование аукциона: аукцион в электронной форме № 0187300005819000224 </w:t>
      </w:r>
      <w:r>
        <w:rPr>
          <w:sz w:val="22"/>
          <w:szCs w:val="22"/>
        </w:rPr>
        <w:t xml:space="preserve">среди субъектов </w:t>
      </w:r>
      <w:r>
        <w:rPr>
          <w:color w:val="000000"/>
          <w:sz w:val="22"/>
          <w:szCs w:val="22"/>
        </w:rPr>
        <w:t>малого предпринимательства и социально ориентированных некоммерческих организаций</w:t>
      </w:r>
      <w:r>
        <w:rPr>
          <w:sz w:val="22"/>
          <w:szCs w:val="22"/>
        </w:rPr>
        <w:t xml:space="preserve"> на право заключения гражданско-правового контракта на поставку кормов для лошадей</w:t>
      </w:r>
      <w:r w:rsidRPr="00857EA1">
        <w:rPr>
          <w:rFonts w:ascii="PT Astra Serif" w:hAnsi="PT Astra Serif"/>
          <w:sz w:val="24"/>
          <w:szCs w:val="24"/>
        </w:rPr>
        <w:t>.</w:t>
      </w:r>
    </w:p>
    <w:p w:rsidR="00857EA1" w:rsidRDefault="00857EA1" w:rsidP="00857EA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0187300005819000224, дата публикации 28.06.2019. </w:t>
      </w:r>
    </w:p>
    <w:p w:rsidR="00857EA1" w:rsidRDefault="00857EA1" w:rsidP="00857EA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57EA1">
        <w:rPr>
          <w:rFonts w:ascii="PT Astra Serif" w:hAnsi="PT Astra Serif"/>
          <w:sz w:val="24"/>
          <w:szCs w:val="24"/>
        </w:rPr>
        <w:t>193862200213586220100100100100000000</w:t>
      </w:r>
      <w:r>
        <w:rPr>
          <w:rFonts w:ascii="PT Astra Serif" w:hAnsi="PT Astra Serif"/>
          <w:sz w:val="24"/>
          <w:szCs w:val="24"/>
        </w:rPr>
        <w:t>.</w:t>
      </w:r>
    </w:p>
    <w:p w:rsidR="00857EA1" w:rsidRDefault="00857EA1" w:rsidP="00857EA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857EA1" w:rsidRDefault="00857EA1" w:rsidP="00857EA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июля 2019 года, по адресу: ул. 40 лет Победы, 11, г. Югорск, Ханты-Мансийский  автономный  округ-Югра, Тюменская область.</w:t>
      </w:r>
    </w:p>
    <w:p w:rsidR="00857EA1" w:rsidRPr="003F031D" w:rsidRDefault="00857EA1" w:rsidP="00857EA1">
      <w:pPr>
        <w:jc w:val="both"/>
        <w:rPr>
          <w:noProof/>
          <w:sz w:val="24"/>
        </w:rPr>
      </w:pPr>
      <w:r>
        <w:rPr>
          <w:noProof/>
          <w:sz w:val="24"/>
        </w:rPr>
        <w:t xml:space="preserve">4. Количество поступивших заявок на участие  в аукционе </w:t>
      </w:r>
      <w:r w:rsidRPr="003F031D">
        <w:rPr>
          <w:noProof/>
          <w:sz w:val="24"/>
        </w:rPr>
        <w:t>– 2.</w:t>
      </w:r>
    </w:p>
    <w:p w:rsidR="00857EA1" w:rsidRPr="003F031D" w:rsidRDefault="00857EA1" w:rsidP="00857EA1">
      <w:pPr>
        <w:jc w:val="both"/>
        <w:rPr>
          <w:noProof/>
          <w:sz w:val="24"/>
        </w:rPr>
      </w:pPr>
      <w:r w:rsidRPr="003F031D">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857EA1" w:rsidRPr="003F031D" w:rsidTr="00857EA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7EA1" w:rsidRPr="003F031D" w:rsidRDefault="00857EA1">
            <w:pPr>
              <w:pStyle w:val="a5"/>
              <w:spacing w:line="276" w:lineRule="auto"/>
              <w:jc w:val="center"/>
              <w:rPr>
                <w:rFonts w:ascii="Times New Roman" w:eastAsia="Times New Roman" w:hAnsi="Times New Roman"/>
                <w:sz w:val="24"/>
                <w:szCs w:val="24"/>
              </w:rPr>
            </w:pPr>
            <w:r w:rsidRPr="003F031D">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7EA1" w:rsidRPr="003F031D" w:rsidRDefault="00857EA1">
            <w:pPr>
              <w:pStyle w:val="a5"/>
              <w:spacing w:line="276" w:lineRule="auto"/>
              <w:jc w:val="center"/>
              <w:rPr>
                <w:rFonts w:ascii="Times New Roman" w:eastAsia="Times New Roman" w:hAnsi="Times New Roman"/>
                <w:sz w:val="24"/>
                <w:szCs w:val="24"/>
              </w:rPr>
            </w:pPr>
            <w:r w:rsidRPr="003F031D">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7EA1" w:rsidRPr="003F031D" w:rsidRDefault="00857EA1">
            <w:pPr>
              <w:pStyle w:val="a5"/>
              <w:spacing w:line="276" w:lineRule="auto"/>
              <w:jc w:val="center"/>
              <w:rPr>
                <w:rFonts w:ascii="Times New Roman" w:eastAsia="Times New Roman" w:hAnsi="Times New Roman"/>
                <w:sz w:val="24"/>
                <w:szCs w:val="24"/>
              </w:rPr>
            </w:pPr>
            <w:r w:rsidRPr="003F031D">
              <w:rPr>
                <w:rFonts w:ascii="Times New Roman" w:eastAsia="Times New Roman" w:hAnsi="Times New Roman"/>
                <w:sz w:val="24"/>
                <w:szCs w:val="24"/>
              </w:rPr>
              <w:t>Причина отказа в допуске</w:t>
            </w:r>
          </w:p>
        </w:tc>
      </w:tr>
      <w:tr w:rsidR="00857EA1" w:rsidRPr="003F031D" w:rsidTr="00857EA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EA1" w:rsidRPr="003F031D" w:rsidRDefault="003F031D">
            <w:pPr>
              <w:spacing w:line="276" w:lineRule="auto"/>
              <w:jc w:val="center"/>
              <w:rPr>
                <w:spacing w:val="-6"/>
                <w:sz w:val="18"/>
                <w:szCs w:val="18"/>
                <w:lang w:eastAsia="en-US"/>
              </w:rPr>
            </w:pPr>
            <w:r w:rsidRPr="003F031D">
              <w:rPr>
                <w:lang w:eastAsia="en-US"/>
              </w:rPr>
              <w:t>79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EA1" w:rsidRPr="003F031D" w:rsidRDefault="00857EA1">
            <w:pPr>
              <w:spacing w:line="276" w:lineRule="auto"/>
              <w:jc w:val="center"/>
              <w:rPr>
                <w:spacing w:val="-6"/>
                <w:sz w:val="18"/>
                <w:szCs w:val="18"/>
                <w:lang w:eastAsia="en-US"/>
              </w:rPr>
            </w:pPr>
            <w:r w:rsidRPr="003F031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7EA1" w:rsidRPr="003F031D" w:rsidRDefault="00857EA1">
            <w:pPr>
              <w:spacing w:line="276" w:lineRule="auto"/>
              <w:jc w:val="both"/>
              <w:rPr>
                <w:spacing w:val="-6"/>
                <w:sz w:val="18"/>
                <w:szCs w:val="18"/>
                <w:lang w:eastAsia="en-US"/>
              </w:rPr>
            </w:pPr>
          </w:p>
        </w:tc>
      </w:tr>
      <w:tr w:rsidR="00857EA1" w:rsidTr="00857EA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EA1" w:rsidRPr="003F031D" w:rsidRDefault="003F031D">
            <w:pPr>
              <w:spacing w:line="276" w:lineRule="auto"/>
              <w:jc w:val="center"/>
              <w:rPr>
                <w:lang w:eastAsia="en-US"/>
              </w:rPr>
            </w:pPr>
            <w:r w:rsidRPr="003F031D">
              <w:rPr>
                <w:lang w:eastAsia="en-US"/>
              </w:rPr>
              <w:t>104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EA1" w:rsidRPr="003F031D" w:rsidRDefault="00857EA1">
            <w:pPr>
              <w:spacing w:line="276" w:lineRule="auto"/>
              <w:jc w:val="center"/>
              <w:rPr>
                <w:spacing w:val="-6"/>
                <w:sz w:val="18"/>
                <w:szCs w:val="18"/>
                <w:lang w:eastAsia="en-US"/>
              </w:rPr>
            </w:pPr>
            <w:r w:rsidRPr="003F031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7EA1" w:rsidRDefault="00857EA1">
            <w:pPr>
              <w:widowControl/>
              <w:spacing w:line="276" w:lineRule="auto"/>
              <w:rPr>
                <w:rFonts w:asciiTheme="minorHAnsi" w:eastAsiaTheme="minorHAnsi" w:hAnsiTheme="minorHAnsi"/>
                <w:sz w:val="22"/>
                <w:szCs w:val="22"/>
                <w:lang w:eastAsia="en-US"/>
              </w:rPr>
            </w:pPr>
          </w:p>
        </w:tc>
      </w:tr>
    </w:tbl>
    <w:p w:rsidR="00857EA1" w:rsidRDefault="00857EA1" w:rsidP="00857EA1">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57EA1" w:rsidRDefault="00857EA1" w:rsidP="00857EA1">
      <w:pPr>
        <w:jc w:val="both"/>
        <w:rPr>
          <w:rFonts w:ascii="PT Serif" w:hAnsi="PT Serif"/>
          <w:sz w:val="24"/>
        </w:rPr>
      </w:pPr>
    </w:p>
    <w:p w:rsidR="00857EA1" w:rsidRDefault="00857EA1" w:rsidP="00857EA1">
      <w:pPr>
        <w:jc w:val="center"/>
        <w:rPr>
          <w:noProof/>
          <w:sz w:val="24"/>
          <w:szCs w:val="24"/>
        </w:rPr>
      </w:pPr>
      <w:r>
        <w:rPr>
          <w:noProof/>
          <w:sz w:val="24"/>
          <w:szCs w:val="24"/>
        </w:rPr>
        <w:t>Сведения о решении</w:t>
      </w:r>
    </w:p>
    <w:p w:rsidR="00857EA1" w:rsidRDefault="00857EA1" w:rsidP="00857EA1">
      <w:pPr>
        <w:jc w:val="center"/>
        <w:rPr>
          <w:noProof/>
          <w:sz w:val="24"/>
          <w:szCs w:val="24"/>
        </w:rPr>
      </w:pPr>
      <w:r>
        <w:rPr>
          <w:noProof/>
          <w:sz w:val="24"/>
          <w:szCs w:val="24"/>
        </w:rPr>
        <w:t xml:space="preserve">членов комиссии о допуске участника закупки к участию в аукционе </w:t>
      </w:r>
    </w:p>
    <w:p w:rsidR="00857EA1" w:rsidRDefault="00857EA1" w:rsidP="00857EA1">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857EA1" w:rsidTr="00857EA1">
        <w:tc>
          <w:tcPr>
            <w:tcW w:w="6663"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857EA1" w:rsidTr="00857EA1">
        <w:tc>
          <w:tcPr>
            <w:tcW w:w="6663" w:type="dxa"/>
            <w:tcBorders>
              <w:top w:val="single" w:sz="4" w:space="0" w:color="auto"/>
              <w:left w:val="single" w:sz="4" w:space="0" w:color="auto"/>
              <w:bottom w:val="single" w:sz="4" w:space="0" w:color="auto"/>
              <w:right w:val="single" w:sz="4" w:space="0" w:color="auto"/>
            </w:tcBorders>
            <w:hideMark/>
          </w:tcPr>
          <w:p w:rsidR="00857EA1" w:rsidRDefault="00857EA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57EA1" w:rsidRDefault="00857EA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857EA1" w:rsidTr="00857EA1">
        <w:tc>
          <w:tcPr>
            <w:tcW w:w="6663" w:type="dxa"/>
            <w:tcBorders>
              <w:top w:val="single" w:sz="4" w:space="0" w:color="auto"/>
              <w:left w:val="single" w:sz="4" w:space="0" w:color="auto"/>
              <w:bottom w:val="single" w:sz="4" w:space="0" w:color="auto"/>
              <w:right w:val="single" w:sz="4" w:space="0" w:color="auto"/>
            </w:tcBorders>
            <w:hideMark/>
          </w:tcPr>
          <w:p w:rsidR="00857EA1" w:rsidRDefault="00857EA1">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57EA1" w:rsidRDefault="00857EA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857EA1" w:rsidTr="00857EA1">
        <w:tc>
          <w:tcPr>
            <w:tcW w:w="6663" w:type="dxa"/>
            <w:tcBorders>
              <w:top w:val="single" w:sz="4" w:space="0" w:color="auto"/>
              <w:left w:val="single" w:sz="4" w:space="0" w:color="auto"/>
              <w:bottom w:val="single" w:sz="4" w:space="0" w:color="auto"/>
              <w:right w:val="single" w:sz="4" w:space="0" w:color="auto"/>
            </w:tcBorders>
            <w:hideMark/>
          </w:tcPr>
          <w:p w:rsidR="00857EA1" w:rsidRDefault="00857EA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57EA1" w:rsidRDefault="00857EA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857EA1" w:rsidTr="00857EA1">
        <w:tc>
          <w:tcPr>
            <w:tcW w:w="6663" w:type="dxa"/>
            <w:tcBorders>
              <w:top w:val="single" w:sz="4" w:space="0" w:color="auto"/>
              <w:left w:val="single" w:sz="4" w:space="0" w:color="auto"/>
              <w:bottom w:val="single" w:sz="4" w:space="0" w:color="auto"/>
              <w:right w:val="single" w:sz="4" w:space="0" w:color="auto"/>
            </w:tcBorders>
            <w:hideMark/>
          </w:tcPr>
          <w:p w:rsidR="00857EA1" w:rsidRDefault="00857EA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57EA1" w:rsidRDefault="00857EA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Т.И. Долгодворова</w:t>
            </w:r>
          </w:p>
        </w:tc>
      </w:tr>
      <w:tr w:rsidR="00857EA1" w:rsidTr="00857EA1">
        <w:tc>
          <w:tcPr>
            <w:tcW w:w="6663" w:type="dxa"/>
            <w:tcBorders>
              <w:top w:val="single" w:sz="4" w:space="0" w:color="auto"/>
              <w:left w:val="single" w:sz="4" w:space="0" w:color="auto"/>
              <w:bottom w:val="single" w:sz="4" w:space="0" w:color="auto"/>
              <w:right w:val="single" w:sz="4" w:space="0" w:color="auto"/>
            </w:tcBorders>
            <w:hideMark/>
          </w:tcPr>
          <w:p w:rsidR="00857EA1" w:rsidRDefault="00857EA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57EA1" w:rsidRDefault="00857EA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857EA1" w:rsidTr="00857EA1">
        <w:tc>
          <w:tcPr>
            <w:tcW w:w="6663" w:type="dxa"/>
            <w:tcBorders>
              <w:top w:val="single" w:sz="4" w:space="0" w:color="auto"/>
              <w:left w:val="single" w:sz="4" w:space="0" w:color="auto"/>
              <w:bottom w:val="single" w:sz="4" w:space="0" w:color="auto"/>
              <w:right w:val="single" w:sz="4" w:space="0" w:color="auto"/>
            </w:tcBorders>
            <w:hideMark/>
          </w:tcPr>
          <w:p w:rsidR="00857EA1" w:rsidRDefault="00857EA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57EA1" w:rsidRDefault="00857EA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Default="00857EA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857EA1" w:rsidRDefault="00857EA1" w:rsidP="00857EA1">
      <w:pPr>
        <w:ind w:left="-993"/>
        <w:jc w:val="both"/>
        <w:rPr>
          <w:rFonts w:ascii="PT Serif" w:hAnsi="PT Serif"/>
          <w:b/>
          <w:sz w:val="24"/>
          <w:szCs w:val="24"/>
        </w:rPr>
      </w:pPr>
    </w:p>
    <w:p w:rsidR="00857EA1" w:rsidRDefault="00857EA1" w:rsidP="00857EA1">
      <w:pPr>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857EA1" w:rsidRDefault="00857EA1" w:rsidP="00857EA1">
      <w:pPr>
        <w:rPr>
          <w:rFonts w:ascii="PT Astra Serif" w:hAnsi="PT Astra Serif"/>
          <w:sz w:val="24"/>
          <w:szCs w:val="24"/>
        </w:rPr>
      </w:pPr>
      <w:r>
        <w:rPr>
          <w:rFonts w:ascii="PT Astra Serif" w:hAnsi="PT Astra Serif"/>
          <w:b/>
          <w:sz w:val="24"/>
          <w:szCs w:val="24"/>
        </w:rPr>
        <w:t xml:space="preserve">                                                    </w:t>
      </w:r>
    </w:p>
    <w:p w:rsidR="00857EA1" w:rsidRDefault="00857EA1" w:rsidP="00857EA1">
      <w:pPr>
        <w:jc w:val="both"/>
        <w:rPr>
          <w:rFonts w:ascii="PT Astra Serif" w:hAnsi="PT Astra Serif"/>
          <w:b/>
          <w:sz w:val="24"/>
          <w:szCs w:val="24"/>
        </w:rPr>
      </w:pPr>
      <w:r>
        <w:rPr>
          <w:rFonts w:ascii="PT Astra Serif" w:hAnsi="PT Astra Serif"/>
          <w:b/>
          <w:sz w:val="24"/>
          <w:szCs w:val="24"/>
        </w:rPr>
        <w:t xml:space="preserve">   Члены  комиссии</w:t>
      </w:r>
    </w:p>
    <w:p w:rsidR="00857EA1" w:rsidRDefault="00857EA1" w:rsidP="00857EA1">
      <w:pPr>
        <w:jc w:val="right"/>
        <w:rPr>
          <w:rFonts w:ascii="PT Astra Serif" w:hAnsi="PT Astra Serif"/>
          <w:sz w:val="24"/>
          <w:szCs w:val="24"/>
        </w:rPr>
      </w:pPr>
      <w:r>
        <w:rPr>
          <w:rFonts w:ascii="PT Astra Serif" w:hAnsi="PT Astra Serif"/>
          <w:sz w:val="24"/>
          <w:szCs w:val="24"/>
        </w:rPr>
        <w:t>___________________В.А. Климин</w:t>
      </w:r>
    </w:p>
    <w:p w:rsidR="00857EA1" w:rsidRDefault="00857EA1" w:rsidP="00857EA1">
      <w:pPr>
        <w:jc w:val="right"/>
        <w:rPr>
          <w:rFonts w:ascii="PT Astra Serif" w:hAnsi="PT Astra Serif"/>
          <w:sz w:val="24"/>
          <w:szCs w:val="24"/>
        </w:rPr>
      </w:pPr>
      <w:r>
        <w:rPr>
          <w:rFonts w:ascii="PT Astra Serif" w:hAnsi="PT Astra Serif"/>
          <w:sz w:val="24"/>
          <w:szCs w:val="24"/>
        </w:rPr>
        <w:t>_______________Н.А. Морозова</w:t>
      </w:r>
    </w:p>
    <w:p w:rsidR="00857EA1" w:rsidRDefault="00857EA1" w:rsidP="00857EA1">
      <w:pPr>
        <w:jc w:val="right"/>
        <w:rPr>
          <w:rFonts w:ascii="PT Astra Serif" w:hAnsi="PT Astra Serif"/>
          <w:sz w:val="24"/>
          <w:szCs w:val="24"/>
        </w:rPr>
      </w:pPr>
      <w:r>
        <w:rPr>
          <w:rFonts w:ascii="PT Astra Serif" w:hAnsi="PT Astra Serif"/>
          <w:sz w:val="24"/>
          <w:szCs w:val="24"/>
        </w:rPr>
        <w:t>___________Т.И. Долгодворова</w:t>
      </w:r>
    </w:p>
    <w:p w:rsidR="00857EA1" w:rsidRDefault="00857EA1" w:rsidP="00857EA1">
      <w:pPr>
        <w:jc w:val="right"/>
        <w:rPr>
          <w:rFonts w:ascii="PT Astra Serif" w:hAnsi="PT Astra Serif"/>
          <w:sz w:val="24"/>
          <w:szCs w:val="24"/>
        </w:rPr>
      </w:pPr>
      <w:r>
        <w:rPr>
          <w:rFonts w:ascii="PT Astra Serif" w:hAnsi="PT Astra Serif"/>
          <w:sz w:val="24"/>
          <w:szCs w:val="24"/>
        </w:rPr>
        <w:t>_______________ А.Т. Абдуллаев</w:t>
      </w:r>
    </w:p>
    <w:p w:rsidR="00857EA1" w:rsidRDefault="00857EA1" w:rsidP="00857EA1">
      <w:pPr>
        <w:jc w:val="right"/>
        <w:rPr>
          <w:rFonts w:ascii="PT Astra Serif" w:hAnsi="PT Astra Serif"/>
          <w:sz w:val="24"/>
          <w:szCs w:val="24"/>
        </w:rPr>
      </w:pPr>
      <w:r>
        <w:rPr>
          <w:rFonts w:ascii="PT Astra Serif" w:hAnsi="PT Astra Serif"/>
          <w:sz w:val="24"/>
          <w:szCs w:val="24"/>
        </w:rPr>
        <w:t>____________________Н.Б. Захарова</w:t>
      </w:r>
    </w:p>
    <w:p w:rsidR="00857EA1" w:rsidRDefault="00857EA1" w:rsidP="00857EA1">
      <w:pPr>
        <w:jc w:val="both"/>
        <w:rPr>
          <w:rFonts w:ascii="PT Serif" w:hAnsi="PT Serif"/>
          <w:sz w:val="24"/>
          <w:szCs w:val="24"/>
        </w:rPr>
      </w:pPr>
    </w:p>
    <w:p w:rsidR="00857EA1" w:rsidRDefault="00857EA1" w:rsidP="00857EA1">
      <w:pPr>
        <w:jc w:val="both"/>
        <w:rPr>
          <w:rFonts w:ascii="PT Serif" w:hAnsi="PT Serif"/>
          <w:sz w:val="24"/>
          <w:szCs w:val="24"/>
        </w:rPr>
      </w:pPr>
    </w:p>
    <w:p w:rsidR="00F83B39" w:rsidRDefault="00857EA1" w:rsidP="00857EA1">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О.Е. Климова</w:t>
      </w: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157E67">
      <w:pPr>
        <w:ind w:left="1" w:hanging="426"/>
        <w:jc w:val="right"/>
        <w:rPr>
          <w:sz w:val="16"/>
          <w:szCs w:val="16"/>
        </w:rPr>
      </w:pPr>
      <w:r>
        <w:rPr>
          <w:sz w:val="16"/>
          <w:szCs w:val="16"/>
        </w:rPr>
        <w:lastRenderedPageBreak/>
        <w:t>Приложение 1</w:t>
      </w:r>
    </w:p>
    <w:p w:rsidR="00157E67" w:rsidRDefault="00157E67" w:rsidP="00157E67">
      <w:pPr>
        <w:tabs>
          <w:tab w:val="left" w:pos="3930"/>
          <w:tab w:val="right" w:pos="9355"/>
        </w:tabs>
        <w:jc w:val="right"/>
        <w:rPr>
          <w:sz w:val="16"/>
          <w:szCs w:val="16"/>
        </w:rPr>
      </w:pPr>
      <w:r>
        <w:rPr>
          <w:sz w:val="16"/>
          <w:szCs w:val="16"/>
        </w:rPr>
        <w:t xml:space="preserve">                                                                                                                                               к протоколу рассмотрения заявок на участие  </w:t>
      </w:r>
    </w:p>
    <w:p w:rsidR="00157E67" w:rsidRDefault="00157E67" w:rsidP="00157E67">
      <w:pPr>
        <w:tabs>
          <w:tab w:val="left" w:pos="3930"/>
          <w:tab w:val="right" w:pos="9355"/>
        </w:tabs>
        <w:jc w:val="right"/>
        <w:rPr>
          <w:sz w:val="16"/>
          <w:szCs w:val="16"/>
        </w:rPr>
      </w:pPr>
      <w:r>
        <w:rPr>
          <w:sz w:val="16"/>
          <w:szCs w:val="16"/>
        </w:rPr>
        <w:t xml:space="preserve">                                                                                                                                                                  в аукционе  в электронной форме                                                                                       от « 09 » июля  2019  г. №  </w:t>
      </w:r>
      <w:r>
        <w:rPr>
          <w:rFonts w:ascii="Arial" w:hAnsi="Arial" w:cs="Arial"/>
          <w:color w:val="000000"/>
          <w:sz w:val="17"/>
          <w:szCs w:val="17"/>
        </w:rPr>
        <w:t>0187300005819000224</w:t>
      </w:r>
    </w:p>
    <w:p w:rsidR="00157E67" w:rsidRDefault="00157E67" w:rsidP="00157E67">
      <w:pPr>
        <w:jc w:val="center"/>
        <w:rPr>
          <w:sz w:val="16"/>
          <w:szCs w:val="16"/>
        </w:rPr>
      </w:pPr>
      <w:r>
        <w:rPr>
          <w:sz w:val="16"/>
          <w:szCs w:val="16"/>
        </w:rPr>
        <w:t xml:space="preserve">Таблица рассмотрения заявок </w:t>
      </w:r>
    </w:p>
    <w:p w:rsidR="00157E67" w:rsidRDefault="00157E67" w:rsidP="00157E67">
      <w:pPr>
        <w:jc w:val="center"/>
        <w:rPr>
          <w:sz w:val="16"/>
          <w:szCs w:val="16"/>
        </w:rPr>
      </w:pPr>
      <w:r>
        <w:rPr>
          <w:sz w:val="16"/>
          <w:szCs w:val="16"/>
        </w:rPr>
        <w:t xml:space="preserve">на участие в аукционе в электронной форме </w:t>
      </w:r>
    </w:p>
    <w:p w:rsidR="00157E67" w:rsidRDefault="00157E67" w:rsidP="00157E67">
      <w:pPr>
        <w:jc w:val="center"/>
        <w:rPr>
          <w:sz w:val="16"/>
          <w:szCs w:val="16"/>
        </w:rPr>
      </w:pPr>
      <w:r>
        <w:rPr>
          <w:sz w:val="16"/>
          <w:szCs w:val="16"/>
        </w:rPr>
        <w:t>среди субъектов малого предпринимательства и социально-ориентированных некоммерческих организаций</w:t>
      </w:r>
    </w:p>
    <w:p w:rsidR="00157E67" w:rsidRDefault="00157E67" w:rsidP="00157E67">
      <w:pPr>
        <w:jc w:val="center"/>
        <w:rPr>
          <w:sz w:val="16"/>
          <w:szCs w:val="16"/>
        </w:rPr>
      </w:pPr>
      <w:r>
        <w:rPr>
          <w:sz w:val="16"/>
          <w:szCs w:val="16"/>
        </w:rPr>
        <w:t>на право заключения гражданско-правового договора на поставку кормов для лошадей</w:t>
      </w:r>
    </w:p>
    <w:p w:rsidR="00157E67" w:rsidRDefault="00157E67" w:rsidP="00157E67">
      <w:pPr>
        <w:jc w:val="center"/>
        <w:rPr>
          <w:sz w:val="16"/>
          <w:szCs w:val="16"/>
        </w:rPr>
      </w:pPr>
      <w:r>
        <w:rPr>
          <w:b/>
          <w:bCs/>
          <w:sz w:val="16"/>
          <w:szCs w:val="16"/>
        </w:rPr>
        <w:br/>
      </w:r>
      <w:r>
        <w:rPr>
          <w:sz w:val="16"/>
          <w:szCs w:val="16"/>
        </w:rPr>
        <w:t>Заказчик: Муниципальное бюджетное учреждение спортивная школа олимпийского резерва «Центр Югорского спорта»</w:t>
      </w:r>
    </w:p>
    <w:tbl>
      <w:tblPr>
        <w:tblStyle w:val="a8"/>
        <w:tblW w:w="5000" w:type="pct"/>
        <w:tblInd w:w="0" w:type="dxa"/>
        <w:tblLook w:val="04A0" w:firstRow="1" w:lastRow="0" w:firstColumn="1" w:lastColumn="0" w:noHBand="0" w:noVBand="1"/>
      </w:tblPr>
      <w:tblGrid>
        <w:gridCol w:w="1411"/>
        <w:gridCol w:w="4663"/>
        <w:gridCol w:w="745"/>
        <w:gridCol w:w="1304"/>
        <w:gridCol w:w="1291"/>
        <w:gridCol w:w="1291"/>
      </w:tblGrid>
      <w:tr w:rsidR="00157E67" w:rsidTr="00157E67">
        <w:trPr>
          <w:trHeight w:val="236"/>
        </w:trPr>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Показатель</w:t>
            </w:r>
          </w:p>
        </w:tc>
        <w:tc>
          <w:tcPr>
            <w:tcW w:w="2178" w:type="pct"/>
            <w:vMerge w:val="restar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Наименование и описание объема закупки</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609" w:type="pct"/>
            <w:vMerge w:val="restar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Объем поставляемых товаров</w:t>
            </w:r>
          </w:p>
        </w:tc>
        <w:tc>
          <w:tcPr>
            <w:tcW w:w="1206" w:type="pct"/>
            <w:gridSpan w:val="2"/>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Номер заявки</w:t>
            </w:r>
          </w:p>
        </w:tc>
      </w:tr>
      <w:tr w:rsidR="00157E67" w:rsidTr="00157E67">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7E67" w:rsidRDefault="00157E67">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E67" w:rsidRDefault="00157E67">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E67" w:rsidRDefault="00157E67">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E67" w:rsidRDefault="00157E67">
            <w:pPr>
              <w:widowControl/>
              <w:rPr>
                <w:sz w:val="18"/>
                <w:szCs w:val="18"/>
                <w:lang w:eastAsia="en-US"/>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79</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104</w:t>
            </w:r>
          </w:p>
        </w:tc>
      </w:tr>
      <w:tr w:rsidR="00157E67" w:rsidTr="00157E67">
        <w:trPr>
          <w:trHeight w:val="2214"/>
        </w:trPr>
        <w:tc>
          <w:tcPr>
            <w:tcW w:w="659" w:type="pct"/>
            <w:vMerge w:val="restart"/>
            <w:tcBorders>
              <w:top w:val="single" w:sz="4" w:space="0" w:color="auto"/>
              <w:left w:val="single" w:sz="4" w:space="0" w:color="auto"/>
              <w:bottom w:val="single" w:sz="4" w:space="0" w:color="auto"/>
              <w:right w:val="single" w:sz="4" w:space="0" w:color="auto"/>
            </w:tcBorders>
            <w:vAlign w:val="center"/>
          </w:tcPr>
          <w:p w:rsidR="00157E67" w:rsidRPr="00157E67" w:rsidRDefault="00157E67">
            <w:pPr>
              <w:widowControl/>
              <w:tabs>
                <w:tab w:val="left" w:pos="-1620"/>
                <w:tab w:val="num" w:pos="432"/>
              </w:tabs>
              <w:jc w:val="center"/>
              <w:rPr>
                <w:sz w:val="12"/>
                <w:szCs w:val="12"/>
                <w:lang w:eastAsia="en-US"/>
              </w:rPr>
            </w:pPr>
            <w:r w:rsidRPr="00157E67">
              <w:rPr>
                <w:b/>
                <w:sz w:val="12"/>
                <w:szCs w:val="12"/>
                <w:lang w:eastAsia="en-US"/>
              </w:rPr>
              <w:t>Первая часть заявки</w:t>
            </w:r>
            <w:r w:rsidRPr="00157E67">
              <w:rPr>
                <w:sz w:val="12"/>
                <w:szCs w:val="12"/>
                <w:lang w:eastAsia="en-US"/>
              </w:rPr>
              <w:t xml:space="preserve"> на участие в электронном аукционе должна содержать следующие сведения:</w:t>
            </w:r>
          </w:p>
          <w:p w:rsidR="00157E67" w:rsidRPr="00157E67" w:rsidRDefault="00157E67">
            <w:pPr>
              <w:widowControl/>
              <w:spacing w:after="60"/>
              <w:jc w:val="center"/>
              <w:rPr>
                <w:i/>
                <w:sz w:val="12"/>
                <w:szCs w:val="12"/>
                <w:lang w:eastAsia="en-US"/>
              </w:rPr>
            </w:pPr>
            <w:proofErr w:type="gramStart"/>
            <w:r w:rsidRPr="00157E67">
              <w:rPr>
                <w:sz w:val="12"/>
                <w:szCs w:val="12"/>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57E67">
              <w:rPr>
                <w:i/>
                <w:sz w:val="12"/>
                <w:szCs w:val="12"/>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57E67">
              <w:rPr>
                <w:i/>
                <w:sz w:val="12"/>
                <w:szCs w:val="12"/>
                <w:lang w:eastAsia="en-US"/>
              </w:rPr>
              <w:t xml:space="preserve"> документации об электронном аукционе).</w:t>
            </w:r>
          </w:p>
          <w:p w:rsidR="00157E67" w:rsidRPr="00157E67" w:rsidRDefault="00157E67">
            <w:pPr>
              <w:widowControl/>
              <w:spacing w:after="60"/>
              <w:jc w:val="center"/>
              <w:rPr>
                <w:sz w:val="12"/>
                <w:szCs w:val="12"/>
                <w:lang w:eastAsia="en-US"/>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rPr>
                <w:sz w:val="18"/>
                <w:szCs w:val="18"/>
                <w:lang w:eastAsia="en-US"/>
              </w:rPr>
            </w:pPr>
            <w:r>
              <w:rPr>
                <w:sz w:val="18"/>
                <w:szCs w:val="18"/>
                <w:lang w:eastAsia="en-US"/>
              </w:rPr>
              <w:t>Корма животные сухие (Овес).</w:t>
            </w:r>
          </w:p>
          <w:p w:rsidR="00157E67" w:rsidRDefault="00157E67">
            <w:pPr>
              <w:tabs>
                <w:tab w:val="left" w:pos="12096"/>
              </w:tabs>
              <w:rPr>
                <w:sz w:val="18"/>
                <w:szCs w:val="18"/>
                <w:lang w:eastAsia="en-US"/>
              </w:rPr>
            </w:pPr>
            <w:r>
              <w:rPr>
                <w:sz w:val="18"/>
                <w:szCs w:val="18"/>
                <w:lang w:eastAsia="en-US"/>
              </w:rPr>
              <w:t>Зерно овса крупное, полное, хорошо вызревшее цилиндрической или грушевидной формы, не битое, не давленное. Поверхность гладкая, с легким блеском. Не допускается наличие проросших зерен, а также зерен изъеденных вредителями. Овес должен быть в здоровом, не греющемся состоянии.</w:t>
            </w:r>
          </w:p>
          <w:p w:rsidR="00157E67" w:rsidRDefault="00157E67">
            <w:pPr>
              <w:tabs>
                <w:tab w:val="left" w:pos="12096"/>
              </w:tabs>
              <w:rPr>
                <w:sz w:val="18"/>
                <w:szCs w:val="18"/>
                <w:lang w:eastAsia="en-US"/>
              </w:rPr>
            </w:pPr>
            <w:r>
              <w:rPr>
                <w:sz w:val="18"/>
                <w:szCs w:val="18"/>
                <w:lang w:eastAsia="en-US"/>
              </w:rPr>
              <w:t>Цвет: бело-желтый, желтый, золотисто-желтый. Не допускается наличие потемневших зерен.</w:t>
            </w:r>
          </w:p>
          <w:p w:rsidR="00157E67" w:rsidRDefault="00157E67">
            <w:pPr>
              <w:tabs>
                <w:tab w:val="left" w:pos="12096"/>
              </w:tabs>
              <w:rPr>
                <w:sz w:val="18"/>
                <w:szCs w:val="18"/>
                <w:lang w:eastAsia="en-US"/>
              </w:rPr>
            </w:pPr>
            <w:r>
              <w:rPr>
                <w:sz w:val="18"/>
                <w:szCs w:val="18"/>
                <w:lang w:eastAsia="en-US"/>
              </w:rPr>
              <w:t xml:space="preserve">Запах: характерный овсяный, без постороннего запаха. Не </w:t>
            </w:r>
            <w:proofErr w:type="gramStart"/>
            <w:r>
              <w:rPr>
                <w:sz w:val="18"/>
                <w:szCs w:val="18"/>
                <w:lang w:eastAsia="en-US"/>
              </w:rPr>
              <w:t>допустим</w:t>
            </w:r>
            <w:proofErr w:type="gramEnd"/>
            <w:r>
              <w:rPr>
                <w:sz w:val="18"/>
                <w:szCs w:val="18"/>
                <w:lang w:eastAsia="en-US"/>
              </w:rPr>
              <w:t xml:space="preserve"> запах плесени, затхлости, гнили, солода.</w:t>
            </w:r>
          </w:p>
          <w:p w:rsidR="00157E67" w:rsidRDefault="00157E67">
            <w:pPr>
              <w:tabs>
                <w:tab w:val="left" w:pos="12096"/>
              </w:tabs>
              <w:rPr>
                <w:sz w:val="18"/>
                <w:szCs w:val="18"/>
                <w:lang w:eastAsia="en-US"/>
              </w:rPr>
            </w:pPr>
            <w:r>
              <w:rPr>
                <w:sz w:val="18"/>
                <w:szCs w:val="18"/>
                <w:lang w:eastAsia="en-US"/>
              </w:rPr>
              <w:t>Влажность от 13,5 % до 15 %.</w:t>
            </w:r>
          </w:p>
        </w:tc>
        <w:tc>
          <w:tcPr>
            <w:tcW w:w="348"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Кг</w:t>
            </w:r>
          </w:p>
        </w:tc>
        <w:tc>
          <w:tcPr>
            <w:tcW w:w="609"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22 000</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соответствует</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соответствует</w:t>
            </w:r>
          </w:p>
        </w:tc>
      </w:tr>
      <w:tr w:rsidR="00157E67" w:rsidTr="00157E67">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7E67" w:rsidRDefault="00157E67">
            <w:pPr>
              <w:widowControl/>
              <w:rPr>
                <w:sz w:val="16"/>
                <w:szCs w:val="16"/>
                <w:lang w:eastAsia="en-US"/>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rPr>
                <w:sz w:val="18"/>
                <w:szCs w:val="18"/>
                <w:lang w:eastAsia="en-US"/>
              </w:rPr>
            </w:pPr>
            <w:r>
              <w:rPr>
                <w:sz w:val="18"/>
                <w:szCs w:val="18"/>
                <w:lang w:eastAsia="en-US"/>
              </w:rPr>
              <w:t>Корма животные сухие (Морковь).</w:t>
            </w:r>
          </w:p>
          <w:p w:rsidR="00157E67" w:rsidRDefault="00157E67">
            <w:pPr>
              <w:tabs>
                <w:tab w:val="left" w:pos="12096"/>
              </w:tabs>
              <w:rPr>
                <w:sz w:val="18"/>
                <w:szCs w:val="18"/>
                <w:lang w:eastAsia="en-US"/>
              </w:rPr>
            </w:pPr>
            <w:proofErr w:type="gramStart"/>
            <w:r>
              <w:rPr>
                <w:sz w:val="18"/>
                <w:szCs w:val="18"/>
                <w:lang w:eastAsia="en-US"/>
              </w:rPr>
              <w:t>Морковь</w:t>
            </w:r>
            <w:proofErr w:type="gramEnd"/>
            <w:r>
              <w:rPr>
                <w:sz w:val="18"/>
                <w:szCs w:val="18"/>
                <w:lang w:eastAsia="en-US"/>
              </w:rPr>
              <w:t xml:space="preserve"> очищенная от наличия земли сухим способом. Корнеплоды свежие, сухие, здоровые, не увядшие, не треснувшие, без признаков прорастания, без повреждений сельскохозяйственными вредителями, без излишней внешней влажности. Запах свойственный данному сорту, без посторонних запахов. Цвет от ярко </w:t>
            </w:r>
            <w:proofErr w:type="gramStart"/>
            <w:r>
              <w:rPr>
                <w:sz w:val="18"/>
                <w:szCs w:val="18"/>
                <w:lang w:eastAsia="en-US"/>
              </w:rPr>
              <w:t>оранжевого</w:t>
            </w:r>
            <w:proofErr w:type="gramEnd"/>
            <w:r>
              <w:rPr>
                <w:sz w:val="18"/>
                <w:szCs w:val="18"/>
                <w:lang w:eastAsia="en-US"/>
              </w:rPr>
              <w:t xml:space="preserve"> до светло оранжевого.</w:t>
            </w:r>
          </w:p>
        </w:tc>
        <w:tc>
          <w:tcPr>
            <w:tcW w:w="348"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Кг</w:t>
            </w:r>
          </w:p>
        </w:tc>
        <w:tc>
          <w:tcPr>
            <w:tcW w:w="609"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8 000</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соответствует</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соответствует</w:t>
            </w:r>
          </w:p>
        </w:tc>
      </w:tr>
      <w:tr w:rsidR="00157E67" w:rsidTr="00157E67">
        <w:trPr>
          <w:trHeight w:val="1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7E67" w:rsidRDefault="00157E67">
            <w:pPr>
              <w:widowControl/>
              <w:rPr>
                <w:sz w:val="16"/>
                <w:szCs w:val="16"/>
                <w:lang w:eastAsia="en-US"/>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rPr>
                <w:sz w:val="18"/>
                <w:szCs w:val="18"/>
                <w:lang w:eastAsia="en-US"/>
              </w:rPr>
            </w:pPr>
            <w:r>
              <w:rPr>
                <w:sz w:val="18"/>
                <w:szCs w:val="18"/>
                <w:lang w:eastAsia="en-US"/>
              </w:rPr>
              <w:t>Корма животные сухие (Сено).</w:t>
            </w:r>
          </w:p>
          <w:p w:rsidR="00157E67" w:rsidRDefault="00157E67">
            <w:pPr>
              <w:tabs>
                <w:tab w:val="left" w:pos="12096"/>
              </w:tabs>
              <w:rPr>
                <w:sz w:val="18"/>
                <w:szCs w:val="18"/>
                <w:lang w:eastAsia="en-US"/>
              </w:rPr>
            </w:pPr>
            <w:r>
              <w:rPr>
                <w:sz w:val="18"/>
                <w:szCs w:val="18"/>
                <w:lang w:eastAsia="en-US"/>
              </w:rPr>
              <w:t>Сено культурных пастбищ и сенокосов. Сено должно быть в рулонах весом не менее 500 кг и не более 501 кг в одном рулоне.</w:t>
            </w:r>
          </w:p>
          <w:p w:rsidR="00157E67" w:rsidRDefault="00157E67">
            <w:pPr>
              <w:tabs>
                <w:tab w:val="left" w:pos="12096"/>
              </w:tabs>
              <w:rPr>
                <w:sz w:val="18"/>
                <w:szCs w:val="18"/>
                <w:lang w:eastAsia="en-US"/>
              </w:rPr>
            </w:pPr>
            <w:r>
              <w:rPr>
                <w:sz w:val="18"/>
                <w:szCs w:val="18"/>
                <w:lang w:eastAsia="en-US"/>
              </w:rPr>
              <w:t xml:space="preserve">Цвет: от зеленого </w:t>
            </w:r>
            <w:proofErr w:type="gramStart"/>
            <w:r>
              <w:rPr>
                <w:sz w:val="18"/>
                <w:szCs w:val="18"/>
                <w:lang w:eastAsia="en-US"/>
              </w:rPr>
              <w:t>до</w:t>
            </w:r>
            <w:proofErr w:type="gramEnd"/>
            <w:r>
              <w:rPr>
                <w:sz w:val="18"/>
                <w:szCs w:val="18"/>
                <w:lang w:eastAsia="en-US"/>
              </w:rPr>
              <w:t xml:space="preserve"> желто-зеленого.</w:t>
            </w:r>
          </w:p>
          <w:p w:rsidR="00157E67" w:rsidRDefault="00157E67">
            <w:pPr>
              <w:tabs>
                <w:tab w:val="left" w:pos="12096"/>
              </w:tabs>
              <w:rPr>
                <w:sz w:val="18"/>
                <w:szCs w:val="18"/>
                <w:lang w:eastAsia="en-US"/>
              </w:rPr>
            </w:pPr>
            <w:r>
              <w:rPr>
                <w:sz w:val="18"/>
                <w:szCs w:val="18"/>
                <w:lang w:eastAsia="en-US"/>
              </w:rPr>
              <w:t>Запах: отсутствие затхлого, плесневелого и гнилостного запаха. Отсутствие высокой температуры внутри рулона.</w:t>
            </w:r>
          </w:p>
          <w:p w:rsidR="00157E67" w:rsidRDefault="00157E67">
            <w:pPr>
              <w:tabs>
                <w:tab w:val="left" w:pos="12096"/>
              </w:tabs>
              <w:rPr>
                <w:sz w:val="18"/>
                <w:szCs w:val="18"/>
                <w:lang w:eastAsia="en-US"/>
              </w:rPr>
            </w:pPr>
            <w:r>
              <w:rPr>
                <w:sz w:val="18"/>
                <w:szCs w:val="18"/>
                <w:lang w:eastAsia="en-US"/>
              </w:rPr>
              <w:t>Содержание ядовитых, вредных и сорных растений не должно превышать 0,5 %.</w:t>
            </w:r>
          </w:p>
        </w:tc>
        <w:tc>
          <w:tcPr>
            <w:tcW w:w="348"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Кг</w:t>
            </w:r>
          </w:p>
        </w:tc>
        <w:tc>
          <w:tcPr>
            <w:tcW w:w="609"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30 000</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соответствует</w:t>
            </w:r>
          </w:p>
        </w:tc>
        <w:tc>
          <w:tcPr>
            <w:tcW w:w="603" w:type="pct"/>
            <w:tcBorders>
              <w:top w:val="single" w:sz="4" w:space="0" w:color="auto"/>
              <w:left w:val="single" w:sz="4" w:space="0" w:color="auto"/>
              <w:bottom w:val="single" w:sz="4" w:space="0" w:color="auto"/>
              <w:right w:val="single" w:sz="4" w:space="0" w:color="auto"/>
            </w:tcBorders>
            <w:vAlign w:val="center"/>
            <w:hideMark/>
          </w:tcPr>
          <w:p w:rsidR="00157E67" w:rsidRDefault="00157E67">
            <w:pPr>
              <w:tabs>
                <w:tab w:val="left" w:pos="12096"/>
              </w:tabs>
              <w:jc w:val="center"/>
              <w:rPr>
                <w:sz w:val="18"/>
                <w:szCs w:val="18"/>
                <w:lang w:eastAsia="en-US"/>
              </w:rPr>
            </w:pPr>
            <w:r>
              <w:rPr>
                <w:sz w:val="18"/>
                <w:szCs w:val="18"/>
                <w:lang w:eastAsia="en-US"/>
              </w:rPr>
              <w:t>соответствует</w:t>
            </w:r>
          </w:p>
        </w:tc>
      </w:tr>
    </w:tbl>
    <w:p w:rsidR="00157E67" w:rsidRDefault="00157E67" w:rsidP="00857EA1">
      <w:pPr>
        <w:rPr>
          <w:rFonts w:ascii="PT Serif" w:hAnsi="PT Serif"/>
          <w:sz w:val="24"/>
        </w:rPr>
      </w:pPr>
      <w:bookmarkStart w:id="0" w:name="_GoBack"/>
      <w:bookmarkEnd w:id="0"/>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pPr>
        <w:rPr>
          <w:rFonts w:ascii="PT Serif" w:hAnsi="PT Serif"/>
          <w:sz w:val="24"/>
        </w:rPr>
      </w:pPr>
    </w:p>
    <w:p w:rsidR="00157E67" w:rsidRDefault="00157E67" w:rsidP="00857EA1"/>
    <w:sectPr w:rsidR="00157E67" w:rsidSect="00857EA1">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Astra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9ECE68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59"/>
    <w:rsid w:val="00157E67"/>
    <w:rsid w:val="003F031D"/>
    <w:rsid w:val="0079753F"/>
    <w:rsid w:val="00823F29"/>
    <w:rsid w:val="00857EA1"/>
    <w:rsid w:val="00BB75D2"/>
    <w:rsid w:val="00EA7459"/>
    <w:rsid w:val="00F01658"/>
    <w:rsid w:val="00F83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57EA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57EA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57EA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57EA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57EA1"/>
    <w:rPr>
      <w:rFonts w:ascii="Times New Roman" w:eastAsia="Times New Roman" w:hAnsi="Times New Roman" w:cs="Times New Roman"/>
    </w:rPr>
  </w:style>
  <w:style w:type="paragraph" w:styleId="a7">
    <w:name w:val="List Paragraph"/>
    <w:basedOn w:val="a"/>
    <w:link w:val="a6"/>
    <w:uiPriority w:val="34"/>
    <w:qFormat/>
    <w:rsid w:val="00857EA1"/>
    <w:pPr>
      <w:ind w:left="720"/>
      <w:contextualSpacing/>
    </w:pPr>
    <w:rPr>
      <w:sz w:val="22"/>
      <w:szCs w:val="22"/>
      <w:lang w:eastAsia="en-US"/>
    </w:rPr>
  </w:style>
  <w:style w:type="table" w:styleId="a8">
    <w:name w:val="Table Grid"/>
    <w:basedOn w:val="a1"/>
    <w:uiPriority w:val="59"/>
    <w:rsid w:val="00157E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7E67"/>
    <w:rPr>
      <w:rFonts w:ascii="Tahoma" w:hAnsi="Tahoma" w:cs="Tahoma"/>
      <w:sz w:val="16"/>
      <w:szCs w:val="16"/>
    </w:rPr>
  </w:style>
  <w:style w:type="character" w:customStyle="1" w:styleId="aa">
    <w:name w:val="Текст выноски Знак"/>
    <w:basedOn w:val="a0"/>
    <w:link w:val="a9"/>
    <w:uiPriority w:val="99"/>
    <w:semiHidden/>
    <w:rsid w:val="00157E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57EA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57EA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57EA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57EA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57EA1"/>
    <w:rPr>
      <w:rFonts w:ascii="Times New Roman" w:eastAsia="Times New Roman" w:hAnsi="Times New Roman" w:cs="Times New Roman"/>
    </w:rPr>
  </w:style>
  <w:style w:type="paragraph" w:styleId="a7">
    <w:name w:val="List Paragraph"/>
    <w:basedOn w:val="a"/>
    <w:link w:val="a6"/>
    <w:uiPriority w:val="34"/>
    <w:qFormat/>
    <w:rsid w:val="00857EA1"/>
    <w:pPr>
      <w:ind w:left="720"/>
      <w:contextualSpacing/>
    </w:pPr>
    <w:rPr>
      <w:sz w:val="22"/>
      <w:szCs w:val="22"/>
      <w:lang w:eastAsia="en-US"/>
    </w:rPr>
  </w:style>
  <w:style w:type="table" w:styleId="a8">
    <w:name w:val="Table Grid"/>
    <w:basedOn w:val="a1"/>
    <w:uiPriority w:val="59"/>
    <w:rsid w:val="00157E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7E67"/>
    <w:rPr>
      <w:rFonts w:ascii="Tahoma" w:hAnsi="Tahoma" w:cs="Tahoma"/>
      <w:sz w:val="16"/>
      <w:szCs w:val="16"/>
    </w:rPr>
  </w:style>
  <w:style w:type="character" w:customStyle="1" w:styleId="aa">
    <w:name w:val="Текст выноски Знак"/>
    <w:basedOn w:val="a0"/>
    <w:link w:val="a9"/>
    <w:uiPriority w:val="99"/>
    <w:semiHidden/>
    <w:rsid w:val="00157E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998">
      <w:bodyDiv w:val="1"/>
      <w:marLeft w:val="0"/>
      <w:marRight w:val="0"/>
      <w:marTop w:val="0"/>
      <w:marBottom w:val="0"/>
      <w:divBdr>
        <w:top w:val="none" w:sz="0" w:space="0" w:color="auto"/>
        <w:left w:val="none" w:sz="0" w:space="0" w:color="auto"/>
        <w:bottom w:val="none" w:sz="0" w:space="0" w:color="auto"/>
        <w:right w:val="none" w:sz="0" w:space="0" w:color="auto"/>
      </w:divBdr>
    </w:div>
    <w:div w:id="1317301051">
      <w:bodyDiv w:val="1"/>
      <w:marLeft w:val="0"/>
      <w:marRight w:val="0"/>
      <w:marTop w:val="0"/>
      <w:marBottom w:val="0"/>
      <w:divBdr>
        <w:top w:val="none" w:sz="0" w:space="0" w:color="auto"/>
        <w:left w:val="none" w:sz="0" w:space="0" w:color="auto"/>
        <w:bottom w:val="none" w:sz="0" w:space="0" w:color="auto"/>
        <w:right w:val="none" w:sz="0" w:space="0" w:color="auto"/>
      </w:divBdr>
    </w:div>
    <w:div w:id="1337532302">
      <w:bodyDiv w:val="1"/>
      <w:marLeft w:val="0"/>
      <w:marRight w:val="0"/>
      <w:marTop w:val="0"/>
      <w:marBottom w:val="0"/>
      <w:divBdr>
        <w:top w:val="none" w:sz="0" w:space="0" w:color="auto"/>
        <w:left w:val="none" w:sz="0" w:space="0" w:color="auto"/>
        <w:bottom w:val="none" w:sz="0" w:space="0" w:color="auto"/>
        <w:right w:val="none" w:sz="0" w:space="0" w:color="auto"/>
      </w:divBdr>
    </w:div>
    <w:div w:id="16098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2019-07-08T12:32:00Z</cp:lastPrinted>
  <dcterms:created xsi:type="dcterms:W3CDTF">2019-07-05T05:06:00Z</dcterms:created>
  <dcterms:modified xsi:type="dcterms:W3CDTF">2019-07-08T12:33:00Z</dcterms:modified>
</cp:coreProperties>
</file>