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54524B">
        <w:rPr>
          <w:rFonts w:ascii="PT Astra Serif" w:hAnsi="PT Astra Serif"/>
          <w:sz w:val="24"/>
          <w:szCs w:val="24"/>
        </w:rPr>
        <w:t>9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</w:t>
      </w:r>
      <w:r w:rsidR="00AB373B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B373B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AB373B">
        <w:rPr>
          <w:rFonts w:ascii="PT Astra Serif" w:hAnsi="PT Astra Serif"/>
          <w:spacing w:val="-6"/>
          <w:sz w:val="24"/>
          <w:szCs w:val="24"/>
        </w:rPr>
        <w:t xml:space="preserve"> Олег Владимирович,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B373B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="00AB373B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54524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AB373B" w:rsidRDefault="00CD58E2" w:rsidP="0054524B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54524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E90BD0" w:rsidRPr="0054524B">
        <w:rPr>
          <w:rFonts w:ascii="PT Astra Serif" w:hAnsi="PT Astra Serif"/>
          <w:spacing w:val="-6"/>
          <w:sz w:val="24"/>
          <w:szCs w:val="24"/>
        </w:rPr>
        <w:t>8</w:t>
      </w:r>
      <w:r w:rsidR="00AB373B">
        <w:rPr>
          <w:rFonts w:ascii="PT Astra Serif" w:hAnsi="PT Astra Serif"/>
          <w:spacing w:val="-6"/>
          <w:sz w:val="24"/>
          <w:szCs w:val="24"/>
        </w:rPr>
        <w:t>8</w:t>
      </w:r>
      <w:r w:rsidR="00D3544B" w:rsidRPr="005452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4524B" w:rsidRPr="00AB373B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54524B" w:rsidRPr="00AB373B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C84312" w:rsidRPr="00AB373B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AB373B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F365F3">
        <w:rPr>
          <w:rFonts w:ascii="PT Astra Serif" w:hAnsi="PT Astra Serif" w:cs="Times New Roman"/>
          <w:sz w:val="24"/>
          <w:szCs w:val="24"/>
        </w:rPr>
        <w:t>муниципального контракта</w:t>
      </w:r>
      <w:r w:rsidR="007F25A8" w:rsidRPr="00AB373B">
        <w:rPr>
          <w:rFonts w:ascii="PT Astra Serif" w:hAnsi="PT Astra Serif" w:cs="Times New Roman"/>
          <w:sz w:val="24"/>
          <w:szCs w:val="24"/>
        </w:rPr>
        <w:t xml:space="preserve"> на </w:t>
      </w:r>
      <w:r w:rsidR="00AB373B" w:rsidRPr="00AB373B">
        <w:rPr>
          <w:rFonts w:ascii="PT Astra Serif" w:hAnsi="PT Astra Serif"/>
          <w:sz w:val="24"/>
          <w:szCs w:val="24"/>
        </w:rPr>
        <w:t>поставку многофункциональных устройств</w:t>
      </w:r>
      <w:r w:rsidR="0054524B" w:rsidRPr="00AB373B">
        <w:rPr>
          <w:rFonts w:ascii="PT Astra Serif" w:hAnsi="PT Astra Serif"/>
          <w:sz w:val="24"/>
          <w:szCs w:val="24"/>
        </w:rPr>
        <w:t>.</w:t>
      </w:r>
    </w:p>
    <w:p w:rsidR="00CD58E2" w:rsidRPr="00AB373B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B373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B373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B373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B373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B373B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E90BD0" w:rsidRPr="00AB373B">
        <w:rPr>
          <w:rFonts w:ascii="PT Astra Serif" w:hAnsi="PT Astra Serif" w:cs="Times New Roman"/>
          <w:bCs/>
          <w:sz w:val="24"/>
          <w:szCs w:val="24"/>
        </w:rPr>
        <w:t>8</w:t>
      </w:r>
      <w:r w:rsidR="00AB373B" w:rsidRPr="00AB373B">
        <w:rPr>
          <w:rFonts w:ascii="PT Astra Serif" w:hAnsi="PT Astra Serif" w:cs="Times New Roman"/>
          <w:bCs/>
          <w:sz w:val="24"/>
          <w:szCs w:val="24"/>
        </w:rPr>
        <w:t>8</w:t>
      </w:r>
      <w:r w:rsidRPr="00AB373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AB373B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AB373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B373B" w:rsidRPr="00AB373B">
        <w:rPr>
          <w:rFonts w:ascii="PT Astra Serif" w:hAnsi="PT Astra Serif"/>
          <w:sz w:val="24"/>
          <w:szCs w:val="24"/>
        </w:rPr>
        <w:t>223862200236886220100102280012620244</w:t>
      </w:r>
      <w:r w:rsidRPr="00AB373B">
        <w:rPr>
          <w:rFonts w:ascii="PT Astra Serif" w:hAnsi="PT Astra Serif"/>
          <w:sz w:val="24"/>
          <w:szCs w:val="24"/>
        </w:rPr>
        <w:t>.</w:t>
      </w:r>
    </w:p>
    <w:p w:rsidR="00CD58E2" w:rsidRPr="0054524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54524B">
        <w:rPr>
          <w:rFonts w:ascii="PT Astra Serif" w:hAnsi="PT Astra Serif"/>
          <w:sz w:val="24"/>
          <w:szCs w:val="24"/>
        </w:rPr>
        <w:t xml:space="preserve">2.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AB373B">
        <w:rPr>
          <w:rFonts w:ascii="PT Astra Serif" w:eastAsia="Calibri" w:hAnsi="PT Astra Serif" w:cs="Calibri"/>
          <w:color w:val="000000"/>
          <w:sz w:val="24"/>
          <w:szCs w:val="24"/>
        </w:rPr>
        <w:t>1 185 600</w:t>
      </w:r>
      <w:r w:rsidR="0054524B" w:rsidRPr="0054524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54524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4524B" w:rsidRPr="0054524B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Победы.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123360">
        <w:rPr>
          <w:rFonts w:ascii="PT Astra Serif" w:hAnsi="PT Astra Serif"/>
          <w:sz w:val="24"/>
          <w:szCs w:val="24"/>
        </w:rPr>
        <w:t>5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123360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123360">
        <w:rPr>
          <w:rFonts w:ascii="PT Astra Serif" w:hAnsi="PT Astra Serif"/>
          <w:sz w:val="24"/>
          <w:szCs w:val="24"/>
        </w:rPr>
        <w:t xml:space="preserve"> 247</w:t>
      </w:r>
      <w:r w:rsidR="00E90BD0">
        <w:rPr>
          <w:rFonts w:ascii="PT Astra Serif" w:hAnsi="PT Astra Serif"/>
          <w:sz w:val="24"/>
          <w:szCs w:val="24"/>
        </w:rPr>
        <w:t xml:space="preserve">, </w:t>
      </w:r>
      <w:r w:rsidR="0054524B">
        <w:rPr>
          <w:rFonts w:ascii="PT Astra Serif" w:hAnsi="PT Astra Serif"/>
          <w:sz w:val="24"/>
          <w:szCs w:val="24"/>
        </w:rPr>
        <w:t>6</w:t>
      </w:r>
      <w:r w:rsidR="00123360">
        <w:rPr>
          <w:rFonts w:ascii="PT Astra Serif" w:hAnsi="PT Astra Serif"/>
          <w:sz w:val="24"/>
          <w:szCs w:val="24"/>
        </w:rPr>
        <w:t>9, 27, 62, 23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B373B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1043328.00</w:t>
            </w:r>
          </w:p>
        </w:tc>
      </w:tr>
      <w:tr w:rsidR="00AB373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1049256.00</w:t>
            </w:r>
          </w:p>
        </w:tc>
      </w:tr>
      <w:tr w:rsidR="00AB373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1161888.00</w:t>
            </w:r>
          </w:p>
        </w:tc>
      </w:tr>
      <w:tr w:rsidR="00AB373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1173744.00</w:t>
            </w:r>
          </w:p>
        </w:tc>
      </w:tr>
      <w:tr w:rsidR="00AB373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AB373B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1185600.00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P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123360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247, 69, 27, 62</w:t>
      </w:r>
      <w:r w:rsidRPr="00123360">
        <w:rPr>
          <w:rFonts w:ascii="PT Astra Serif" w:hAnsi="PT Astra Serif"/>
          <w:sz w:val="24"/>
          <w:szCs w:val="24"/>
        </w:rPr>
        <w:t>;</w:t>
      </w:r>
    </w:p>
    <w:p w:rsidR="00123360" w:rsidRDefault="00123360" w:rsidP="00F365F3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065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3"/>
        <w:gridCol w:w="2026"/>
        <w:gridCol w:w="3362"/>
        <w:gridCol w:w="1846"/>
      </w:tblGrid>
      <w:tr w:rsidR="00123360" w:rsidTr="00123360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1594B"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 w:rsidRPr="0061594B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61594B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1594B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61594B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61594B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1594B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1594B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</w:tr>
      <w:tr w:rsidR="00123360" w:rsidTr="0012336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60" w:rsidRPr="0061594B" w:rsidRDefault="00123360" w:rsidP="0061594B">
            <w:pPr>
              <w:spacing w:after="0" w:line="240" w:lineRule="auto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60" w:rsidRPr="0061594B" w:rsidRDefault="00123360" w:rsidP="0061594B">
            <w:pPr>
              <w:spacing w:after="0" w:line="240" w:lineRule="auto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60" w:rsidRPr="0061594B" w:rsidRDefault="00123360" w:rsidP="0061594B">
            <w:pPr>
              <w:spacing w:after="0" w:line="240" w:lineRule="auto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1594B">
              <w:rPr>
                <w:rFonts w:ascii="PT Astra Serif" w:hAnsi="PT Astra Serif"/>
                <w:bCs/>
                <w:sz w:val="18"/>
                <w:szCs w:val="18"/>
              </w:rPr>
              <w:t xml:space="preserve">Федеральный закон №44-ФЗ «О контрактной системе в сфере закупок </w:t>
            </w:r>
            <w:r w:rsidRPr="0061594B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товаров, работ, услуг для обеспечения государственных и муниципальных нужд»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1594B">
              <w:rPr>
                <w:rFonts w:ascii="PT Astra Serif" w:hAnsi="PT Astra Serif"/>
                <w:sz w:val="18"/>
                <w:szCs w:val="18"/>
              </w:rPr>
              <w:lastRenderedPageBreak/>
              <w:t>Извещения об аукционе</w:t>
            </w:r>
          </w:p>
        </w:tc>
      </w:tr>
      <w:tr w:rsidR="00123360" w:rsidTr="00123360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1594B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61594B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_23___ </w:t>
            </w:r>
            <w:r w:rsidRPr="0061594B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номера заявки)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ind w:left="-23" w:firstLine="2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1594B">
              <w:rPr>
                <w:rFonts w:ascii="PT Astra Serif" w:hAnsi="PT Astra Serif"/>
                <w:bCs/>
                <w:sz w:val="18"/>
                <w:szCs w:val="18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61594B">
              <w:rPr>
                <w:rFonts w:ascii="PT Astra Serif" w:hAnsi="PT Astra Serif"/>
                <w:sz w:val="18"/>
                <w:szCs w:val="18"/>
              </w:rPr>
              <w:t>: - в описании товара отсутствуют конкретные значения характеристик, а именно:</w:t>
            </w:r>
          </w:p>
          <w:p w:rsidR="00123360" w:rsidRPr="0061594B" w:rsidRDefault="00123360" w:rsidP="0061594B">
            <w:pPr>
              <w:spacing w:after="0" w:line="240" w:lineRule="auto"/>
              <w:ind w:left="-23" w:firstLine="2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1594B">
              <w:rPr>
                <w:rFonts w:ascii="PT Astra Serif" w:hAnsi="PT Astra Serif"/>
                <w:sz w:val="18"/>
                <w:szCs w:val="18"/>
              </w:rPr>
              <w:t>- в описании присутствуют слова «не ниже» (</w:t>
            </w:r>
            <w:r w:rsidR="0061594B" w:rsidRPr="0061594B">
              <w:rPr>
                <w:rFonts w:ascii="PT Astra Serif" w:hAnsi="PT Astra Serif"/>
                <w:sz w:val="18"/>
                <w:szCs w:val="18"/>
              </w:rPr>
              <w:t xml:space="preserve">класс энергетической эффективности </w:t>
            </w:r>
            <w:r w:rsidRPr="0061594B">
              <w:rPr>
                <w:rFonts w:ascii="PT Astra Serif" w:hAnsi="PT Astra Serif"/>
                <w:sz w:val="18"/>
                <w:szCs w:val="18"/>
              </w:rPr>
              <w:t>«не  ниже</w:t>
            </w:r>
            <w:proofErr w:type="gramStart"/>
            <w:r w:rsidRPr="0061594B">
              <w:rPr>
                <w:rFonts w:ascii="PT Astra Serif" w:hAnsi="PT Astra Serif"/>
                <w:sz w:val="18"/>
                <w:szCs w:val="18"/>
              </w:rPr>
              <w:t xml:space="preserve"> А</w:t>
            </w:r>
            <w:proofErr w:type="gramEnd"/>
            <w:r w:rsidRPr="0061594B">
              <w:rPr>
                <w:rFonts w:ascii="PT Astra Serif" w:hAnsi="PT Astra Serif"/>
                <w:sz w:val="18"/>
                <w:szCs w:val="18"/>
              </w:rPr>
              <w:t>»);</w:t>
            </w:r>
          </w:p>
          <w:p w:rsidR="0061594B" w:rsidRPr="0061594B" w:rsidRDefault="00123360" w:rsidP="006159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594B">
              <w:rPr>
                <w:rFonts w:ascii="PT Astra Serif" w:hAnsi="PT Astra Serif"/>
                <w:sz w:val="18"/>
                <w:szCs w:val="18"/>
              </w:rPr>
              <w:t>- в описании характеристик товара указан знак «</w:t>
            </w:r>
            <w:r w:rsidR="0061594B" w:rsidRPr="0061594B">
              <w:rPr>
                <w:rFonts w:ascii="PT Astra Serif" w:hAnsi="PT Astra Serif"/>
                <w:b/>
                <w:sz w:val="18"/>
                <w:szCs w:val="18"/>
              </w:rPr>
              <w:t>≥</w:t>
            </w:r>
            <w:r w:rsidRPr="0061594B">
              <w:rPr>
                <w:rFonts w:ascii="PT Astra Serif" w:hAnsi="PT Astra Serif"/>
                <w:sz w:val="18"/>
                <w:szCs w:val="18"/>
              </w:rPr>
              <w:t>»</w:t>
            </w:r>
            <w:r w:rsidR="0061594B" w:rsidRPr="0061594B">
              <w:rPr>
                <w:rFonts w:ascii="PT Astra Serif" w:hAnsi="PT Astra Serif"/>
                <w:sz w:val="18"/>
                <w:szCs w:val="18"/>
              </w:rPr>
              <w:t xml:space="preserve"> (количество п</w:t>
            </w:r>
            <w:bookmarkStart w:id="0" w:name="_GoBack"/>
            <w:bookmarkEnd w:id="0"/>
            <w:r w:rsidR="0061594B" w:rsidRPr="0061594B">
              <w:rPr>
                <w:rFonts w:ascii="PT Astra Serif" w:hAnsi="PT Astra Serif"/>
                <w:sz w:val="18"/>
                <w:szCs w:val="18"/>
              </w:rPr>
              <w:t>ечати страниц в месяц; максимальное разрешение черно-белой печати по вертикали;</w:t>
            </w:r>
          </w:p>
          <w:p w:rsidR="00123360" w:rsidRPr="0061594B" w:rsidRDefault="0061594B" w:rsidP="0061594B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594B">
              <w:rPr>
                <w:rFonts w:ascii="PT Astra Serif" w:hAnsi="PT Astra Serif"/>
                <w:sz w:val="18"/>
                <w:szCs w:val="18"/>
              </w:rPr>
              <w:t>максимальное разрешение черно-белой печати по горизонтали;  объем установленной оперативной памяти; скорость черно-белой печати в формате А</w:t>
            </w:r>
            <w:proofErr w:type="gramStart"/>
            <w:r w:rsidRPr="0061594B">
              <w:rPr>
                <w:rFonts w:ascii="PT Astra Serif" w:hAnsi="PT Astra Serif"/>
                <w:sz w:val="18"/>
                <w:szCs w:val="18"/>
              </w:rPr>
              <w:t>4</w:t>
            </w:r>
            <w:proofErr w:type="gramEnd"/>
            <w:r w:rsidRPr="0061594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1594B">
              <w:rPr>
                <w:rFonts w:ascii="PT Astra Serif" w:hAnsi="PT Astra Serif"/>
                <w:kern w:val="2"/>
                <w:sz w:val="18"/>
                <w:szCs w:val="18"/>
                <w:lang w:eastAsia="ar-SA"/>
              </w:rPr>
              <w:t>по ISO/IEC 24734; суммарная емкость выходных лотков; суммарная емкость лотков подачи бумаги для печати;  суммарная емкость устройства автоподачи сканера оригиналов; частота процессора)</w:t>
            </w:r>
          </w:p>
          <w:p w:rsidR="00123360" w:rsidRPr="0061594B" w:rsidRDefault="00123360" w:rsidP="0061594B">
            <w:pPr>
              <w:spacing w:after="0" w:line="240" w:lineRule="auto"/>
              <w:ind w:left="-23" w:firstLine="23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61594B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61594B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61594B">
              <w:rPr>
                <w:rFonts w:ascii="PT Astra Serif" w:hAnsi="PT Astra Serif"/>
                <w:color w:val="181818"/>
                <w:sz w:val="18"/>
                <w:szCs w:val="18"/>
              </w:rPr>
              <w:t>п.п</w:t>
            </w:r>
            <w:proofErr w:type="spellEnd"/>
            <w:r w:rsidRPr="0061594B">
              <w:rPr>
                <w:rFonts w:ascii="PT Astra Serif" w:hAnsi="PT Astra Serif"/>
                <w:color w:val="181818"/>
                <w:sz w:val="18"/>
                <w:szCs w:val="18"/>
              </w:rPr>
              <w:t>. а) п.2) ч.1 ст. 43</w:t>
            </w:r>
          </w:p>
          <w:p w:rsidR="00123360" w:rsidRPr="0061594B" w:rsidRDefault="00123360" w:rsidP="0061594B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61594B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61594B">
              <w:rPr>
                <w:rFonts w:ascii="PT Astra Serif" w:hAnsi="PT Astra Serif"/>
                <w:sz w:val="18"/>
                <w:szCs w:val="18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r w:rsidR="00C24F75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61594B" w:rsidRDefault="00123360" w:rsidP="00F365F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594B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61594B">
              <w:rPr>
                <w:rFonts w:ascii="PT Astra Serif" w:hAnsi="PT Astra Serif"/>
                <w:sz w:val="18"/>
                <w:szCs w:val="18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F365F3">
              <w:rPr>
                <w:rFonts w:ascii="PT Astra Serif" w:hAnsi="PT Astra Serif"/>
                <w:sz w:val="18"/>
                <w:szCs w:val="18"/>
              </w:rPr>
              <w:t>закупки</w:t>
            </w:r>
            <w:r w:rsidRPr="0061594B">
              <w:rPr>
                <w:rFonts w:ascii="PT Astra Serif" w:hAnsi="PT Astra Serif"/>
                <w:sz w:val="18"/>
                <w:szCs w:val="18"/>
              </w:rPr>
              <w:t xml:space="preserve"> «Описание объекта закупки».</w:t>
            </w:r>
          </w:p>
        </w:tc>
      </w:tr>
    </w:tbl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2336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C75ACB" w:rsidRDefault="0012336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AB373B" w:rsidRDefault="00123360" w:rsidP="00DB328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12336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C75ACB" w:rsidRDefault="0012336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AB373B" w:rsidRDefault="00123360" w:rsidP="00DB328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12336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C75ACB" w:rsidRDefault="0012336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AB373B" w:rsidRDefault="00123360" w:rsidP="00DB328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12336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C75ACB" w:rsidRDefault="0012336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AB373B" w:rsidRDefault="00123360" w:rsidP="00DB328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:rsidR="00F10C2E" w:rsidRPr="00FD65C8" w:rsidRDefault="00F10C2E" w:rsidP="0054524B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sz w:val="24"/>
        </w:rPr>
      </w:pPr>
      <w:r w:rsidRPr="00FD65C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D65C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D65C8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FD65C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D65C8">
        <w:rPr>
          <w:sz w:val="24"/>
          <w:szCs w:val="24"/>
        </w:rPr>
        <w:t>.</w:t>
      </w: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AB373B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AB373B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F365F3">
      <w:pgSz w:w="11905" w:h="16837"/>
      <w:pgMar w:top="567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3360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20C7E"/>
    <w:rsid w:val="00530517"/>
    <w:rsid w:val="00531B88"/>
    <w:rsid w:val="00531D6F"/>
    <w:rsid w:val="00535E88"/>
    <w:rsid w:val="0054524B"/>
    <w:rsid w:val="00550EB4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AB373B"/>
    <w:rsid w:val="00B6380A"/>
    <w:rsid w:val="00B91E44"/>
    <w:rsid w:val="00B93527"/>
    <w:rsid w:val="00B93EA1"/>
    <w:rsid w:val="00BB7630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B651-CAFE-4BC5-82F3-A1FB709B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76</cp:revision>
  <cp:lastPrinted>2022-12-29T05:10:00Z</cp:lastPrinted>
  <dcterms:created xsi:type="dcterms:W3CDTF">2022-09-19T10:06:00Z</dcterms:created>
  <dcterms:modified xsi:type="dcterms:W3CDTF">2022-12-29T09:51:00Z</dcterms:modified>
</cp:coreProperties>
</file>