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17" w:rsidRDefault="00972717" w:rsidP="008F0059">
      <w:pPr>
        <w:jc w:val="right"/>
        <w:rPr>
          <w:rFonts w:ascii="PT Astra Serif" w:eastAsia="Calibri" w:hAnsi="PT Astra Serif"/>
          <w:b/>
          <w:lang w:eastAsia="en-US"/>
        </w:rPr>
      </w:pPr>
    </w:p>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EA2CCC" w:rsidRPr="00EA2CCC">
        <w:t>аппарата ручной лазерной очистки</w:t>
      </w:r>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(идентификационный код закупки</w:t>
      </w:r>
      <w:r w:rsidR="00EA2CCC">
        <w:rPr>
          <w:color w:val="000000"/>
          <w:shd w:val="clear" w:color="auto" w:fill="F5F5F5"/>
        </w:rPr>
        <w:t>______________________</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EA2CCC">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 xml:space="preserve">стандартами, санитарно-эпидемиологическими правилами и иными нормативами, являющимися обязательными в отношении данного вида товара </w:t>
      </w:r>
      <w:proofErr w:type="gramStart"/>
      <w:r w:rsidRPr="003224CA">
        <w:rPr>
          <w:sz w:val="24"/>
          <w:szCs w:val="24"/>
        </w:rPr>
        <w:t>в</w:t>
      </w:r>
      <w:proofErr w:type="gramEnd"/>
      <w:r w:rsidRPr="003224CA">
        <w:rPr>
          <w:sz w:val="24"/>
          <w:szCs w:val="24"/>
        </w:rPr>
        <w:t xml:space="preserve"> </w:t>
      </w:r>
      <w:proofErr w:type="gramStart"/>
      <w:r w:rsidRPr="003224CA">
        <w:rPr>
          <w:sz w:val="24"/>
          <w:szCs w:val="24"/>
        </w:rPr>
        <w:t>соответствии</w:t>
      </w:r>
      <w:proofErr w:type="gramEnd"/>
      <w:r w:rsidRPr="003224CA">
        <w:rPr>
          <w:sz w:val="24"/>
          <w:szCs w:val="24"/>
        </w:rPr>
        <w:t xml:space="preserve">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proofErr w:type="gramStart"/>
      <w:r w:rsidRPr="003224CA">
        <w:rPr>
          <w:sz w:val="24"/>
          <w:szCs w:val="24"/>
        </w:rPr>
        <w:t>завершении</w:t>
      </w:r>
      <w:proofErr w:type="gramEnd"/>
      <w:r w:rsidRPr="003224CA">
        <w:rPr>
          <w:sz w:val="24"/>
          <w:szCs w:val="24"/>
        </w:rPr>
        <w:t xml:space="preserve">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3224CA">
        <w:rPr>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F1C1C" w:rsidRPr="00F835BD" w:rsidRDefault="006F1C1C" w:rsidP="006F1C1C">
      <w:pPr>
        <w:autoSpaceDE w:val="0"/>
        <w:autoSpaceDN w:val="0"/>
        <w:adjustRightInd w:val="0"/>
        <w:spacing w:line="240" w:lineRule="auto"/>
        <w:rPr>
          <w:sz w:val="24"/>
          <w:szCs w:val="24"/>
        </w:rPr>
      </w:pPr>
      <w:r>
        <w:rPr>
          <w:sz w:val="24"/>
          <w:szCs w:val="24"/>
        </w:rPr>
        <w:t xml:space="preserve">Источник финансирования: Бюджет города </w:t>
      </w:r>
      <w:proofErr w:type="spellStart"/>
      <w:r>
        <w:rPr>
          <w:sz w:val="24"/>
          <w:szCs w:val="24"/>
        </w:rPr>
        <w:t>Югорска</w:t>
      </w:r>
      <w:proofErr w:type="spellEnd"/>
      <w:r>
        <w:rPr>
          <w:sz w:val="24"/>
          <w:szCs w:val="24"/>
        </w:rPr>
        <w:t xml:space="preserve"> на 2023 год.</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00E62E9C">
        <w:rPr>
          <w:sz w:val="24"/>
          <w:szCs w:val="24"/>
        </w:rPr>
        <w:lastRenderedPageBreak/>
        <w:t>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w:t>
      </w:r>
      <w:r w:rsidRPr="006F1C1C">
        <w:rPr>
          <w:sz w:val="24"/>
          <w:szCs w:val="24"/>
          <w:highlight w:val="yellow"/>
        </w:rPr>
        <w:t xml:space="preserve">в рамках муниципальной программы </w:t>
      </w:r>
      <w:r w:rsidRPr="006F1C1C">
        <w:rPr>
          <w:bCs/>
          <w:iCs/>
          <w:sz w:val="24"/>
          <w:szCs w:val="24"/>
          <w:highlight w:val="yellow"/>
        </w:rPr>
        <w:t xml:space="preserve">«Управление муниципальным имуществом на 2021-2023 годы» Основное мероприятие: «Управление и распоряжение муниципальным имуществом города </w:t>
      </w:r>
      <w:proofErr w:type="spellStart"/>
      <w:r w:rsidRPr="006F1C1C">
        <w:rPr>
          <w:bCs/>
          <w:iCs/>
          <w:sz w:val="24"/>
          <w:szCs w:val="24"/>
          <w:highlight w:val="yellow"/>
        </w:rPr>
        <w:t>Югорска</w:t>
      </w:r>
      <w:proofErr w:type="spellEnd"/>
      <w:r w:rsidRPr="006F1C1C">
        <w:rPr>
          <w:bCs/>
          <w:iCs/>
          <w:sz w:val="24"/>
          <w:szCs w:val="24"/>
          <w:highlight w:val="yellow"/>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6F1C1C"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6F1C1C"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6F1C1C"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6F1C1C"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972717"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t xml:space="preserve"> </w:t>
      </w:r>
      <w:r w:rsidRPr="00566218">
        <w:t>с подтверждением соответствующим сертификатом Госстандарта России</w:t>
      </w:r>
      <w:r>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w:t>
      </w:r>
      <w:r w:rsidRPr="003224CA">
        <w:rPr>
          <w:sz w:val="24"/>
          <w:szCs w:val="24"/>
        </w:rPr>
        <w:lastRenderedPageBreak/>
        <w:t>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6F4EB5" w:rsidRDefault="00E62E9C" w:rsidP="009718F4">
      <w:pPr>
        <w:spacing w:line="240" w:lineRule="auto"/>
        <w:rPr>
          <w:sz w:val="24"/>
          <w:szCs w:val="24"/>
        </w:rPr>
      </w:pPr>
      <w:r>
        <w:rPr>
          <w:sz w:val="24"/>
          <w:szCs w:val="24"/>
        </w:rPr>
        <w:t xml:space="preserve">3.3.5. </w:t>
      </w:r>
      <w:r w:rsidR="006F1C1C">
        <w:rPr>
          <w:rFonts w:ascii="PT Astra Serif" w:hAnsi="PT Astra Serif"/>
          <w:sz w:val="24"/>
          <w:szCs w:val="24"/>
        </w:rPr>
        <w:t>Срок гарантии Поставщика на лазерный источник (в данное понятие входит источник лазерного излучения вместе с оптоволоконным кабелем) составляет 24 (двадцать четыре) месяца. На остальные комплектующие и его компоненты гарантия составляет 12 (двенадцать) месяцев.</w:t>
      </w:r>
    </w:p>
    <w:p w:rsidR="009718F4" w:rsidRDefault="006F4EB5" w:rsidP="009718F4">
      <w:pPr>
        <w:spacing w:line="240" w:lineRule="auto"/>
        <w:rPr>
          <w:sz w:val="24"/>
          <w:szCs w:val="24"/>
        </w:rPr>
      </w:pPr>
      <w:r>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2A23A7">
        <w:rPr>
          <w:sz w:val="24"/>
          <w:szCs w:val="24"/>
        </w:rPr>
        <w:t>24</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2A23A7">
        <w:rPr>
          <w:sz w:val="24"/>
          <w:szCs w:val="24"/>
        </w:rPr>
        <w:t>24____________ месяца</w:t>
      </w:r>
      <w:r w:rsidRPr="00E62E9C">
        <w:rPr>
          <w:sz w:val="24"/>
          <w:szCs w:val="24"/>
        </w:rPr>
        <w:t xml:space="preserve">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2A23A7">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w:t>
      </w:r>
      <w:r w:rsidR="002A23A7">
        <w:rPr>
          <w:sz w:val="24"/>
          <w:szCs w:val="24"/>
        </w:rPr>
        <w:t>зчиком досрочно поставить товар</w:t>
      </w:r>
      <w:r w:rsidRPr="003224CA">
        <w:rPr>
          <w:sz w:val="24"/>
          <w:szCs w:val="24"/>
        </w:rPr>
        <w:t>.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4.1. Поставка товара должна быть осуществлена</w:t>
      </w:r>
      <w:r w:rsidR="00EA2CCC">
        <w:rPr>
          <w:sz w:val="24"/>
          <w:szCs w:val="24"/>
        </w:rPr>
        <w:t xml:space="preserve"> в течение</w:t>
      </w:r>
      <w:r w:rsidRPr="00F70E53">
        <w:rPr>
          <w:sz w:val="24"/>
          <w:szCs w:val="24"/>
        </w:rPr>
        <w:t xml:space="preserve"> </w:t>
      </w:r>
      <w:r w:rsidR="00EA2CCC" w:rsidRPr="00EA2CCC">
        <w:rPr>
          <w:sz w:val="24"/>
          <w:szCs w:val="24"/>
        </w:rPr>
        <w:t xml:space="preserve">35 рабочих дней с момента подписания </w:t>
      </w:r>
      <w:r w:rsidRPr="00F70E53">
        <w:rPr>
          <w:sz w:val="24"/>
          <w:szCs w:val="24"/>
        </w:rPr>
        <w:t xml:space="preserve">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lastRenderedPageBreak/>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EA2CCC" w:rsidRPr="00EA2CCC" w:rsidRDefault="00C63CF1" w:rsidP="00EA2CCC">
      <w:pPr>
        <w:spacing w:line="240" w:lineRule="auto"/>
        <w:ind w:firstLine="0"/>
        <w:rPr>
          <w:rFonts w:ascii="PT Astra Serif" w:hAnsi="PT Astra Serif"/>
          <w:sz w:val="24"/>
          <w:szCs w:val="24"/>
        </w:rPr>
      </w:pPr>
      <w:r>
        <w:rPr>
          <w:rFonts w:ascii="PT Astra Serif" w:hAnsi="PT Astra Serif"/>
          <w:sz w:val="24"/>
          <w:szCs w:val="24"/>
        </w:rPr>
        <w:t xml:space="preserve">          </w:t>
      </w:r>
      <w:r w:rsidR="00EA2CCC" w:rsidRPr="00EA2CCC">
        <w:rPr>
          <w:rFonts w:ascii="PT Astra Serif" w:hAnsi="PT Astra Serif"/>
          <w:sz w:val="24"/>
          <w:szCs w:val="24"/>
        </w:rPr>
        <w:t>- оригинал сертификата происхождения груза;</w:t>
      </w:r>
    </w:p>
    <w:p w:rsidR="00EA2CCC" w:rsidRPr="00EA2CCC" w:rsidRDefault="00EA2CCC" w:rsidP="00EA2CCC">
      <w:pPr>
        <w:spacing w:line="240" w:lineRule="auto"/>
        <w:ind w:left="709" w:hanging="709"/>
        <w:rPr>
          <w:rFonts w:ascii="PT Astra Serif" w:hAnsi="PT Astra Serif"/>
          <w:sz w:val="24"/>
          <w:szCs w:val="24"/>
        </w:rPr>
      </w:pPr>
      <w:r>
        <w:rPr>
          <w:rFonts w:ascii="PT Astra Serif" w:hAnsi="PT Astra Serif"/>
          <w:sz w:val="24"/>
          <w:szCs w:val="24"/>
        </w:rPr>
        <w:t xml:space="preserve">          </w:t>
      </w:r>
      <w:r w:rsidRPr="00EA2CCC">
        <w:rPr>
          <w:rFonts w:ascii="PT Astra Serif" w:hAnsi="PT Astra Serif"/>
          <w:sz w:val="24"/>
          <w:szCs w:val="24"/>
        </w:rPr>
        <w:t xml:space="preserve">- декларацию на товары в электронном виде в срок не позднее 5 (пяти) рабочих дней </w:t>
      </w:r>
      <w:proofErr w:type="gramStart"/>
      <w:r w:rsidRPr="00EA2CCC">
        <w:rPr>
          <w:rFonts w:ascii="PT Astra Serif" w:hAnsi="PT Astra Serif"/>
          <w:sz w:val="24"/>
          <w:szCs w:val="24"/>
        </w:rPr>
        <w:t xml:space="preserve">с </w:t>
      </w:r>
      <w:r>
        <w:rPr>
          <w:rFonts w:ascii="PT Astra Serif" w:hAnsi="PT Astra Serif"/>
          <w:sz w:val="24"/>
          <w:szCs w:val="24"/>
        </w:rPr>
        <w:t xml:space="preserve">   </w:t>
      </w:r>
      <w:r w:rsidRPr="00EA2CCC">
        <w:rPr>
          <w:rFonts w:ascii="PT Astra Serif" w:hAnsi="PT Astra Serif"/>
          <w:sz w:val="24"/>
          <w:szCs w:val="24"/>
        </w:rPr>
        <w:t>даты выпуска</w:t>
      </w:r>
      <w:proofErr w:type="gramEnd"/>
      <w:r w:rsidRPr="00EA2CCC">
        <w:rPr>
          <w:rFonts w:ascii="PT Astra Serif" w:hAnsi="PT Astra Serif"/>
          <w:sz w:val="24"/>
          <w:szCs w:val="24"/>
        </w:rPr>
        <w:t xml:space="preserve"> таможенным органом          экспортной декларации на товары,</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xml:space="preserve">- документы, отражающие гарантийные обязательства Поставщика, </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xml:space="preserve">- товар должен соответствовать требованиям и иметь сертификат соответствия требованиям </w:t>
      </w:r>
      <w:proofErr w:type="gramStart"/>
      <w:r w:rsidRPr="00EA2CCC">
        <w:rPr>
          <w:rFonts w:ascii="PT Astra Serif" w:hAnsi="PT Astra Serif"/>
          <w:sz w:val="24"/>
          <w:szCs w:val="24"/>
        </w:rPr>
        <w:t>ТР</w:t>
      </w:r>
      <w:proofErr w:type="gramEnd"/>
      <w:r w:rsidRPr="00EA2CCC">
        <w:rPr>
          <w:rFonts w:ascii="PT Astra Serif" w:hAnsi="PT Astra Serif"/>
          <w:sz w:val="24"/>
          <w:szCs w:val="24"/>
        </w:rPr>
        <w:t xml:space="preserve"> ТС 032/2013 «О безопасности машин и оборудования», </w:t>
      </w:r>
    </w:p>
    <w:p w:rsidR="00EA2CCC" w:rsidRPr="00EA2CCC" w:rsidRDefault="00EA2CCC" w:rsidP="00EA2CCC">
      <w:pPr>
        <w:spacing w:line="240" w:lineRule="auto"/>
        <w:ind w:left="567" w:firstLine="0"/>
        <w:rPr>
          <w:rFonts w:ascii="PT Astra Serif" w:hAnsi="PT Astra Serif"/>
          <w:sz w:val="24"/>
          <w:szCs w:val="24"/>
        </w:rPr>
      </w:pPr>
      <w:r w:rsidRPr="00EA2CCC">
        <w:rPr>
          <w:rFonts w:ascii="PT Astra Serif" w:hAnsi="PT Astra Serif"/>
          <w:sz w:val="24"/>
          <w:szCs w:val="24"/>
        </w:rPr>
        <w:t>- инструкции (руководства) пользователя на русском языке,</w:t>
      </w:r>
    </w:p>
    <w:p w:rsidR="00C63CF1" w:rsidRPr="0003571B" w:rsidRDefault="00EA2CCC" w:rsidP="00EA2CCC">
      <w:pPr>
        <w:spacing w:line="240" w:lineRule="auto"/>
        <w:ind w:left="567" w:hanging="993"/>
        <w:rPr>
          <w:rFonts w:ascii="PT Astra Serif" w:hAnsi="PT Astra Serif"/>
          <w:sz w:val="24"/>
          <w:szCs w:val="24"/>
        </w:rPr>
      </w:pPr>
      <w:r w:rsidRPr="00EA2CCC">
        <w:rPr>
          <w:rFonts w:ascii="PT Astra Serif" w:hAnsi="PT Astra Serif"/>
          <w:sz w:val="24"/>
          <w:szCs w:val="24"/>
        </w:rPr>
        <w:t xml:space="preserve">                - руководство по эксплуатации товара и прочую техническую документацию Производителя – все на русском языке;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 xml:space="preserve">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w:t>
      </w:r>
      <w:r w:rsidRPr="003224CA">
        <w:lastRenderedPageBreak/>
        <w:t>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lastRenderedPageBreak/>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lastRenderedPageBreak/>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8971BE" w:rsidRDefault="00954601" w:rsidP="008971BE">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8971BE">
        <w:rPr>
          <w:i/>
          <w:kern w:val="16"/>
          <w:sz w:val="24"/>
          <w:szCs w:val="24"/>
        </w:rPr>
        <w:t xml:space="preserve">Обеспечение исполнения Контракта предоставляется Заказчику до заключения Контракта. </w:t>
      </w:r>
      <w:r w:rsidR="008971BE">
        <w:rPr>
          <w:i/>
          <w:sz w:val="24"/>
          <w:szCs w:val="24"/>
        </w:rPr>
        <w:t xml:space="preserve">Размер </w:t>
      </w:r>
      <w:r w:rsidR="008971BE">
        <w:rPr>
          <w:i/>
          <w:kern w:val="16"/>
          <w:sz w:val="24"/>
          <w:szCs w:val="24"/>
        </w:rPr>
        <w:t>обеспечения исполнения Контракта составляет _______ рублей ____ копеек (__ процентов от цены, по которой заключается контракт).</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8971BE">
        <w:rPr>
          <w:kern w:val="16"/>
          <w:sz w:val="24"/>
          <w:szCs w:val="24"/>
        </w:rPr>
        <w:t>29 801 рубль</w:t>
      </w:r>
      <w:r w:rsidRPr="005767CF">
        <w:rPr>
          <w:kern w:val="16"/>
          <w:sz w:val="24"/>
          <w:szCs w:val="24"/>
        </w:rPr>
        <w:t xml:space="preserve"> </w:t>
      </w:r>
      <w:r w:rsidR="008971BE">
        <w:rPr>
          <w:kern w:val="16"/>
          <w:sz w:val="24"/>
          <w:szCs w:val="24"/>
        </w:rPr>
        <w:t>6</w:t>
      </w:r>
      <w:r w:rsidR="006A17B4">
        <w:rPr>
          <w:kern w:val="16"/>
          <w:sz w:val="24"/>
          <w:szCs w:val="24"/>
        </w:rPr>
        <w:t>0</w:t>
      </w:r>
      <w:r w:rsidRPr="005767CF">
        <w:rPr>
          <w:kern w:val="16"/>
          <w:sz w:val="24"/>
          <w:szCs w:val="24"/>
        </w:rPr>
        <w:t xml:space="preserve"> копеек (</w:t>
      </w:r>
      <w:r w:rsidR="008971BE">
        <w:rPr>
          <w:kern w:val="16"/>
          <w:sz w:val="24"/>
          <w:szCs w:val="24"/>
        </w:rPr>
        <w:t>2</w:t>
      </w:r>
      <w:r w:rsidR="006A17B4">
        <w:rPr>
          <w:kern w:val="16"/>
          <w:sz w:val="24"/>
          <w:szCs w:val="24"/>
        </w:rPr>
        <w:t>%</w:t>
      </w:r>
      <w:r w:rsidR="008971BE">
        <w:rPr>
          <w:kern w:val="16"/>
          <w:sz w:val="24"/>
          <w:szCs w:val="24"/>
        </w:rPr>
        <w:t xml:space="preserve"> процента</w:t>
      </w:r>
      <w:r w:rsidRPr="005767CF">
        <w:rPr>
          <w:kern w:val="16"/>
          <w:sz w:val="24"/>
          <w:szCs w:val="24"/>
        </w:rPr>
        <w:t xml:space="preserve"> от начальной (максимальной) цены к</w:t>
      </w:r>
      <w:r w:rsidR="008971BE">
        <w:rPr>
          <w:kern w:val="16"/>
          <w:sz w:val="24"/>
          <w:szCs w:val="24"/>
        </w:rPr>
        <w:t>онтракта).</w:t>
      </w:r>
      <w:r w:rsidRPr="005767CF">
        <w:rPr>
          <w:kern w:val="16"/>
          <w:sz w:val="24"/>
          <w:szCs w:val="24"/>
        </w:rPr>
        <w:t xml:space="preserve"> </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w:t>
      </w:r>
      <w:r w:rsidRPr="00F835BD">
        <w:rPr>
          <w:sz w:val="24"/>
          <w:szCs w:val="24"/>
        </w:rPr>
        <w:lastRenderedPageBreak/>
        <w:t xml:space="preserve">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3402D2">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 xml:space="preserve">При этом сумма цен таких </w:t>
      </w:r>
      <w:r>
        <w:rPr>
          <w:rFonts w:eastAsia="Calibri"/>
          <w:i/>
          <w:sz w:val="24"/>
          <w:szCs w:val="24"/>
        </w:rPr>
        <w:lastRenderedPageBreak/>
        <w:t>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w:t>
      </w:r>
      <w:r>
        <w:rPr>
          <w:iCs/>
          <w:sz w:val="24"/>
          <w:szCs w:val="24"/>
        </w:rPr>
        <w:lastRenderedPageBreak/>
        <w:t>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lastRenderedPageBreak/>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3402D2">
        <w:rPr>
          <w:sz w:val="24"/>
          <w:szCs w:val="24"/>
        </w:rPr>
        <w:t xml:space="preserve">товар: на </w:t>
      </w:r>
      <w:r w:rsidR="003402D2">
        <w:rPr>
          <w:rFonts w:ascii="PT Astra Serif" w:hAnsi="PT Astra Serif"/>
          <w:sz w:val="24"/>
          <w:szCs w:val="24"/>
        </w:rPr>
        <w:t>лазерный источник (в данное понятие входит источник лазерного излучения вместе с оптоволоконным кабелем) составляет 24 (двадцать четыре) месяца. На остальные комплектующие и его компоненты гарантия составляет 12 (двенадцать) месяцев.</w:t>
      </w:r>
      <w:r>
        <w:rPr>
          <w:sz w:val="24"/>
          <w:szCs w:val="24"/>
        </w:rPr>
        <w:t xml:space="preserve">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972717">
        <w:rPr>
          <w:sz w:val="24"/>
          <w:szCs w:val="24"/>
        </w:rPr>
        <w:t>30 дней</w:t>
      </w:r>
      <w:r>
        <w:rPr>
          <w:sz w:val="24"/>
          <w:szCs w:val="24"/>
        </w:rPr>
        <w:t xml:space="preserve">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 xml:space="preserve">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sz w:val="24"/>
          <w:szCs w:val="24"/>
        </w:rPr>
        <w:lastRenderedPageBreak/>
        <w:t>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183AE7"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w:t>
      </w:r>
    </w:p>
    <w:p w:rsidR="008C7EA4" w:rsidRDefault="008C7EA4" w:rsidP="008C7EA4">
      <w:pPr>
        <w:spacing w:line="240" w:lineRule="auto"/>
        <w:rPr>
          <w:sz w:val="24"/>
          <w:szCs w:val="24"/>
        </w:rPr>
      </w:pPr>
      <w:proofErr w:type="gramStart"/>
      <w:r>
        <w:rPr>
          <w:sz w:val="24"/>
          <w:szCs w:val="24"/>
        </w:rPr>
        <w:t>-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w:t>
      </w:r>
      <w:r w:rsidR="003402D2">
        <w:rPr>
          <w:sz w:val="24"/>
          <w:szCs w:val="24"/>
        </w:rPr>
        <w:t>, расположенных</w:t>
      </w:r>
      <w:r>
        <w:rPr>
          <w:sz w:val="24"/>
          <w:szCs w:val="24"/>
        </w:rPr>
        <w:t xml:space="preserve">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183AE7" w:rsidRDefault="00183AE7"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183AE7" w:rsidRDefault="00183AE7"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bookmarkStart w:id="0" w:name="_GoBack"/>
      <w:bookmarkEnd w:id="0"/>
    </w:p>
    <w:p w:rsidR="008C7EA4" w:rsidRDefault="008C7EA4" w:rsidP="008C7EA4">
      <w:pPr>
        <w:pStyle w:val="a5"/>
        <w:ind w:firstLine="567"/>
      </w:pPr>
      <w:r>
        <w:lastRenderedPageBreak/>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w:t>
      </w:r>
      <w:r w:rsidRPr="008C7EA4">
        <w:rPr>
          <w:color w:val="000000" w:themeColor="text1"/>
          <w:sz w:val="24"/>
          <w:szCs w:val="24"/>
          <w:lang w:eastAsia="en-US"/>
        </w:rPr>
        <w:lastRenderedPageBreak/>
        <w:t xml:space="preserve">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lastRenderedPageBreak/>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proofErr w:type="spellStart"/>
      <w:r w:rsidR="00347201">
        <w:rPr>
          <w:sz w:val="24"/>
          <w:szCs w:val="24"/>
          <w:lang w:val="en-US"/>
        </w:rPr>
        <w:t>ugorsk</w:t>
      </w:r>
      <w:proofErr w:type="spellEnd"/>
      <w:r w:rsidR="00347201" w:rsidRPr="00347201">
        <w:rPr>
          <w:sz w:val="24"/>
          <w:szCs w:val="24"/>
        </w:rPr>
        <w:t>.</w:t>
      </w:r>
      <w:proofErr w:type="spellStart"/>
      <w:r w:rsidR="00347201">
        <w:rPr>
          <w:sz w:val="24"/>
          <w:szCs w:val="24"/>
          <w:lang w:val="en-US"/>
        </w:rPr>
        <w:t>ru</w:t>
      </w:r>
      <w:proofErr w:type="spellEnd"/>
      <w:r>
        <w:rPr>
          <w:sz w:val="24"/>
          <w:szCs w:val="24"/>
        </w:rPr>
        <w:t xml:space="preserve">.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.1. Контра</w:t>
      </w:r>
      <w:proofErr w:type="gramStart"/>
      <w:r w:rsidRPr="003224CA">
        <w:rPr>
          <w:sz w:val="24"/>
          <w:szCs w:val="24"/>
        </w:rPr>
        <w:t>кт вст</w:t>
      </w:r>
      <w:proofErr w:type="gramEnd"/>
      <w:r w:rsidRPr="003224CA">
        <w:rPr>
          <w:sz w:val="24"/>
          <w:szCs w:val="24"/>
        </w:rPr>
        <w:t xml:space="preserve">упает в силу со дня подписания его Сторонами и действует до </w:t>
      </w:r>
      <w:r w:rsidR="00557EA7">
        <w:rPr>
          <w:sz w:val="24"/>
          <w:szCs w:val="24"/>
        </w:rPr>
        <w:t>15</w:t>
      </w:r>
      <w:r w:rsidR="00347201" w:rsidRPr="00347201">
        <w:rPr>
          <w:sz w:val="24"/>
          <w:szCs w:val="24"/>
        </w:rPr>
        <w:t xml:space="preserve"> </w:t>
      </w:r>
      <w:r w:rsidR="00557EA7">
        <w:rPr>
          <w:sz w:val="24"/>
          <w:szCs w:val="24"/>
        </w:rPr>
        <w:t>июня</w:t>
      </w:r>
      <w:r w:rsidR="00347201">
        <w:rPr>
          <w:sz w:val="24"/>
          <w:szCs w:val="24"/>
        </w:rPr>
        <w:t xml:space="preserve"> 202</w:t>
      </w:r>
      <w:r w:rsidR="00972717">
        <w:rPr>
          <w:sz w:val="24"/>
          <w:szCs w:val="24"/>
        </w:rPr>
        <w:t>3</w:t>
      </w:r>
      <w:r w:rsidRPr="003224CA">
        <w:rPr>
          <w:sz w:val="24"/>
          <w:szCs w:val="24"/>
        </w:rPr>
        <w:t xml:space="preserve"> г.  С </w:t>
      </w:r>
      <w:r w:rsidR="00557EA7">
        <w:rPr>
          <w:sz w:val="24"/>
          <w:szCs w:val="24"/>
        </w:rPr>
        <w:t>15</w:t>
      </w:r>
      <w:r w:rsidRPr="003224CA">
        <w:rPr>
          <w:sz w:val="24"/>
          <w:szCs w:val="24"/>
        </w:rPr>
        <w:t xml:space="preserve"> </w:t>
      </w:r>
      <w:r w:rsidR="00557EA7">
        <w:rPr>
          <w:sz w:val="24"/>
          <w:szCs w:val="24"/>
        </w:rPr>
        <w:t>июня</w:t>
      </w:r>
      <w:r w:rsidRPr="003224CA">
        <w:rPr>
          <w:sz w:val="24"/>
          <w:szCs w:val="24"/>
        </w:rPr>
        <w:t xml:space="preserve"> 20</w:t>
      </w:r>
      <w:r w:rsidR="00347201">
        <w:rPr>
          <w:sz w:val="24"/>
          <w:szCs w:val="24"/>
        </w:rPr>
        <w:t>2</w:t>
      </w:r>
      <w:r w:rsidR="00972717">
        <w:rPr>
          <w:sz w:val="24"/>
          <w:szCs w:val="24"/>
        </w:rPr>
        <w:t>3</w:t>
      </w:r>
      <w:r w:rsidRPr="003224CA">
        <w:rPr>
          <w:sz w:val="24"/>
          <w:szCs w:val="24"/>
        </w:rPr>
        <w:t xml:space="preserve"> г. обязательства Сторон по Контракту прекращаются, за исключением обязательств по оплате </w:t>
      </w:r>
      <w:r>
        <w:rPr>
          <w:sz w:val="24"/>
          <w:szCs w:val="24"/>
        </w:rPr>
        <w:t>поставки товара</w:t>
      </w:r>
      <w:r w:rsidRPr="003224CA">
        <w:rPr>
          <w:sz w:val="24"/>
          <w:szCs w:val="24"/>
        </w:rPr>
        <w:t>, гарантийных обязательств, обязательств по возмещению убытков и выплате неустойки.</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lastRenderedPageBreak/>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w:t>
      </w:r>
      <w:proofErr w:type="spellStart"/>
      <w:r w:rsidRPr="00346CD7">
        <w:rPr>
          <w:sz w:val="24"/>
          <w:szCs w:val="24"/>
        </w:rPr>
        <w:t>Югорска</w:t>
      </w:r>
      <w:proofErr w:type="spellEnd"/>
      <w:r w:rsidRPr="00346CD7">
        <w:rPr>
          <w:sz w:val="24"/>
          <w:szCs w:val="24"/>
        </w:rPr>
        <w:t xml:space="preserve">,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557EA7">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w:t>
      </w:r>
      <w:r w:rsidR="00372857">
        <w:rPr>
          <w:b/>
          <w:sz w:val="26"/>
          <w:szCs w:val="26"/>
        </w:rPr>
        <w:t>п</w:t>
      </w:r>
      <w:r w:rsidR="00FA2BFA">
        <w:rPr>
          <w:b/>
          <w:sz w:val="26"/>
          <w:szCs w:val="26"/>
        </w:rPr>
        <w:t>оставку</w:t>
      </w:r>
      <w:r w:rsidRPr="00B56EEA">
        <w:rPr>
          <w:b/>
          <w:sz w:val="26"/>
          <w:szCs w:val="26"/>
        </w:rPr>
        <w:t xml:space="preserve"> </w:t>
      </w:r>
      <w:r w:rsidR="00557EA7">
        <w:rPr>
          <w:b/>
          <w:sz w:val="26"/>
          <w:szCs w:val="26"/>
        </w:rPr>
        <w:t>аппарата ручной лазерной очистки</w:t>
      </w:r>
    </w:p>
    <w:p w:rsidR="00F07682" w:rsidRDefault="00F07682" w:rsidP="00F07682">
      <w:pPr>
        <w:pStyle w:val="af4"/>
        <w:jc w:val="center"/>
        <w:rPr>
          <w:b/>
          <w:sz w:val="26"/>
          <w:szCs w:val="26"/>
        </w:rPr>
      </w:pPr>
    </w:p>
    <w:tbl>
      <w:tblPr>
        <w:tblW w:w="415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412"/>
        <w:gridCol w:w="798"/>
        <w:gridCol w:w="1135"/>
        <w:gridCol w:w="1133"/>
        <w:gridCol w:w="1467"/>
        <w:gridCol w:w="1318"/>
        <w:gridCol w:w="1739"/>
        <w:gridCol w:w="1211"/>
        <w:gridCol w:w="885"/>
        <w:gridCol w:w="1120"/>
      </w:tblGrid>
      <w:tr w:rsidR="00557EA7" w:rsidRPr="00B56EEA" w:rsidTr="00557EA7">
        <w:trPr>
          <w:trHeight w:val="490"/>
        </w:trPr>
        <w:tc>
          <w:tcPr>
            <w:tcW w:w="179" w:type="pct"/>
            <w:vMerge w:val="restart"/>
            <w:vAlign w:val="center"/>
          </w:tcPr>
          <w:p w:rsidR="00557EA7" w:rsidRPr="002B5ED7" w:rsidRDefault="00557EA7"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557"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315"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Pr>
                <w:sz w:val="18"/>
                <w:szCs w:val="18"/>
                <w:lang w:eastAsia="zh-CN"/>
              </w:rPr>
              <w:t>ОКПД-2</w:t>
            </w:r>
          </w:p>
        </w:tc>
        <w:tc>
          <w:tcPr>
            <w:tcW w:w="448"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47"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1099" w:type="pct"/>
            <w:gridSpan w:val="2"/>
            <w:vAlign w:val="center"/>
          </w:tcPr>
          <w:p w:rsidR="00557EA7" w:rsidRPr="002B5ED7" w:rsidRDefault="00557EA7" w:rsidP="00F07682">
            <w:pPr>
              <w:suppressAutoHyphens/>
              <w:rPr>
                <w:sz w:val="18"/>
                <w:szCs w:val="18"/>
                <w:lang w:eastAsia="zh-CN"/>
              </w:rPr>
            </w:pPr>
            <w:r w:rsidRPr="00B56EEA">
              <w:rPr>
                <w:sz w:val="18"/>
                <w:szCs w:val="18"/>
                <w:lang w:eastAsia="zh-CN"/>
              </w:rPr>
              <w:t>Характеристика</w:t>
            </w:r>
          </w:p>
        </w:tc>
        <w:tc>
          <w:tcPr>
            <w:tcW w:w="685"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Наименование страны происхождения товара в соответствии с общероссийским классификатором, используемым для идентификации стран мира</w:t>
            </w:r>
          </w:p>
        </w:tc>
        <w:tc>
          <w:tcPr>
            <w:tcW w:w="478" w:type="pct"/>
            <w:vMerge w:val="restart"/>
            <w:vAlign w:val="center"/>
          </w:tcPr>
          <w:p w:rsidR="00557EA7" w:rsidRPr="00B56EEA" w:rsidRDefault="00557EA7"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c>
          <w:tcPr>
            <w:tcW w:w="349" w:type="pct"/>
            <w:vMerge w:val="restart"/>
            <w:vAlign w:val="center"/>
          </w:tcPr>
          <w:p w:rsidR="00557EA7" w:rsidRPr="00B56EEA" w:rsidRDefault="00557EA7"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443" w:type="pct"/>
            <w:vMerge w:val="restart"/>
            <w:vAlign w:val="center"/>
          </w:tcPr>
          <w:p w:rsidR="00557EA7" w:rsidRPr="00B56EEA" w:rsidRDefault="00557EA7" w:rsidP="00F07682">
            <w:pPr>
              <w:ind w:firstLine="0"/>
              <w:rPr>
                <w:sz w:val="18"/>
                <w:szCs w:val="18"/>
                <w:lang w:eastAsia="zh-CN"/>
              </w:rPr>
            </w:pPr>
            <w:r w:rsidRPr="00B56EEA">
              <w:rPr>
                <w:sz w:val="18"/>
                <w:szCs w:val="18"/>
                <w:lang w:eastAsia="zh-CN"/>
              </w:rPr>
              <w:t>Сумма, руб.</w:t>
            </w:r>
          </w:p>
          <w:p w:rsidR="00557EA7" w:rsidRPr="00B56EEA" w:rsidRDefault="00557EA7"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r>
      <w:tr w:rsidR="00557EA7" w:rsidRPr="00B56EEA" w:rsidTr="00557EA7">
        <w:trPr>
          <w:trHeight w:val="1604"/>
        </w:trPr>
        <w:tc>
          <w:tcPr>
            <w:tcW w:w="17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57"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315" w:type="pct"/>
            <w:vMerge/>
          </w:tcPr>
          <w:p w:rsidR="00557EA7" w:rsidRPr="00B56EEA" w:rsidRDefault="00557EA7" w:rsidP="00F07682">
            <w:pPr>
              <w:suppressAutoHyphens/>
              <w:autoSpaceDE w:val="0"/>
              <w:autoSpaceDN w:val="0"/>
              <w:adjustRightInd w:val="0"/>
              <w:rPr>
                <w:sz w:val="18"/>
                <w:szCs w:val="18"/>
                <w:lang w:eastAsia="zh-CN"/>
              </w:rPr>
            </w:pPr>
          </w:p>
        </w:tc>
        <w:tc>
          <w:tcPr>
            <w:tcW w:w="448"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47"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79" w:type="pct"/>
            <w:shd w:val="clear" w:color="auto" w:fill="auto"/>
            <w:vAlign w:val="center"/>
          </w:tcPr>
          <w:p w:rsidR="00557EA7" w:rsidRPr="00B56EEA" w:rsidRDefault="00557EA7"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520" w:type="pct"/>
            <w:shd w:val="clear" w:color="auto" w:fill="auto"/>
            <w:vAlign w:val="center"/>
          </w:tcPr>
          <w:p w:rsidR="00557EA7" w:rsidRPr="00B56EEA" w:rsidRDefault="00557EA7" w:rsidP="00F07682">
            <w:pPr>
              <w:suppressAutoHyphens/>
              <w:ind w:firstLine="0"/>
              <w:rPr>
                <w:sz w:val="18"/>
                <w:szCs w:val="18"/>
                <w:lang w:eastAsia="zh-CN"/>
              </w:rPr>
            </w:pPr>
            <w:r w:rsidRPr="00B56EEA">
              <w:rPr>
                <w:sz w:val="18"/>
                <w:szCs w:val="18"/>
              </w:rPr>
              <w:t>Значение показателя*</w:t>
            </w:r>
          </w:p>
        </w:tc>
        <w:tc>
          <w:tcPr>
            <w:tcW w:w="685" w:type="pct"/>
            <w:vMerge/>
            <w:vAlign w:val="center"/>
          </w:tcPr>
          <w:p w:rsidR="00557EA7" w:rsidRPr="00B56EEA" w:rsidRDefault="00557EA7" w:rsidP="00F07682">
            <w:pPr>
              <w:suppressAutoHyphens/>
              <w:ind w:firstLine="709"/>
              <w:rPr>
                <w:sz w:val="18"/>
                <w:szCs w:val="18"/>
                <w:lang w:eastAsia="zh-CN"/>
              </w:rPr>
            </w:pPr>
          </w:p>
        </w:tc>
        <w:tc>
          <w:tcPr>
            <w:tcW w:w="478"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34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43" w:type="pct"/>
            <w:vMerge/>
            <w:vAlign w:val="center"/>
          </w:tcPr>
          <w:p w:rsidR="00557EA7" w:rsidRPr="00B56EEA" w:rsidRDefault="00557EA7" w:rsidP="00F07682">
            <w:pPr>
              <w:suppressAutoHyphens/>
              <w:autoSpaceDE w:val="0"/>
              <w:autoSpaceDN w:val="0"/>
              <w:adjustRightInd w:val="0"/>
              <w:rPr>
                <w:sz w:val="18"/>
                <w:szCs w:val="18"/>
                <w:lang w:eastAsia="zh-CN"/>
              </w:rPr>
            </w:pPr>
          </w:p>
        </w:tc>
      </w:tr>
      <w:tr w:rsidR="00557EA7" w:rsidRPr="00B56EEA" w:rsidTr="00557EA7">
        <w:trPr>
          <w:trHeight w:val="120"/>
        </w:trPr>
        <w:tc>
          <w:tcPr>
            <w:tcW w:w="179" w:type="pct"/>
            <w:vMerge w:val="restart"/>
          </w:tcPr>
          <w:p w:rsidR="00557EA7" w:rsidRPr="002B5ED7" w:rsidRDefault="00557EA7"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557"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31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48"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47"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79"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20"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8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78"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349"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443"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r>
      <w:tr w:rsidR="00557EA7" w:rsidRPr="00B56EEA" w:rsidTr="00557EA7">
        <w:trPr>
          <w:trHeight w:val="110"/>
        </w:trPr>
        <w:tc>
          <w:tcPr>
            <w:tcW w:w="179"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55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7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2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8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557EA7">
        <w:trPr>
          <w:trHeight w:val="190"/>
        </w:trPr>
        <w:tc>
          <w:tcPr>
            <w:tcW w:w="179"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55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7"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7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2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8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557EA7">
        <w:trPr>
          <w:trHeight w:val="110"/>
        </w:trPr>
        <w:tc>
          <w:tcPr>
            <w:tcW w:w="3731" w:type="pct"/>
            <w:gridSpan w:val="8"/>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78"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34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43"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FE" w:rsidRDefault="00661DFE" w:rsidP="009718F4">
      <w:pPr>
        <w:spacing w:line="240" w:lineRule="auto"/>
      </w:pPr>
      <w:r>
        <w:separator/>
      </w:r>
    </w:p>
  </w:endnote>
  <w:endnote w:type="continuationSeparator" w:id="0">
    <w:p w:rsidR="00661DFE" w:rsidRDefault="00661DFE"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FE" w:rsidRDefault="00661DFE" w:rsidP="009718F4">
      <w:pPr>
        <w:spacing w:line="240" w:lineRule="auto"/>
      </w:pPr>
      <w:r>
        <w:separator/>
      </w:r>
    </w:p>
  </w:footnote>
  <w:footnote w:type="continuationSeparator" w:id="0">
    <w:p w:rsidR="00661DFE" w:rsidRDefault="00661DFE"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D74F0"/>
    <w:rsid w:val="000E177F"/>
    <w:rsid w:val="001000E8"/>
    <w:rsid w:val="00101D3E"/>
    <w:rsid w:val="001102B2"/>
    <w:rsid w:val="00111771"/>
    <w:rsid w:val="00122C5A"/>
    <w:rsid w:val="00123A10"/>
    <w:rsid w:val="001268E1"/>
    <w:rsid w:val="00141C6F"/>
    <w:rsid w:val="00175504"/>
    <w:rsid w:val="00183AE7"/>
    <w:rsid w:val="001859AB"/>
    <w:rsid w:val="00186745"/>
    <w:rsid w:val="001B3046"/>
    <w:rsid w:val="001D1179"/>
    <w:rsid w:val="00212191"/>
    <w:rsid w:val="00225302"/>
    <w:rsid w:val="00226D4F"/>
    <w:rsid w:val="00243E27"/>
    <w:rsid w:val="00260BB0"/>
    <w:rsid w:val="0026283E"/>
    <w:rsid w:val="002A0DA6"/>
    <w:rsid w:val="002A23A7"/>
    <w:rsid w:val="002B7D5E"/>
    <w:rsid w:val="002D271E"/>
    <w:rsid w:val="002E4086"/>
    <w:rsid w:val="00316148"/>
    <w:rsid w:val="003402D2"/>
    <w:rsid w:val="00346CD7"/>
    <w:rsid w:val="00347201"/>
    <w:rsid w:val="0036054D"/>
    <w:rsid w:val="00372857"/>
    <w:rsid w:val="00377625"/>
    <w:rsid w:val="003943C1"/>
    <w:rsid w:val="003E2070"/>
    <w:rsid w:val="003E57A7"/>
    <w:rsid w:val="003F40B8"/>
    <w:rsid w:val="004101D8"/>
    <w:rsid w:val="0043305C"/>
    <w:rsid w:val="004770E1"/>
    <w:rsid w:val="00485B9B"/>
    <w:rsid w:val="0052134D"/>
    <w:rsid w:val="00544821"/>
    <w:rsid w:val="00557EA7"/>
    <w:rsid w:val="00594B29"/>
    <w:rsid w:val="005B21C6"/>
    <w:rsid w:val="005C22B7"/>
    <w:rsid w:val="005C38B9"/>
    <w:rsid w:val="005D4C4F"/>
    <w:rsid w:val="005F1B01"/>
    <w:rsid w:val="005F62F9"/>
    <w:rsid w:val="00654180"/>
    <w:rsid w:val="006577B3"/>
    <w:rsid w:val="00661DFE"/>
    <w:rsid w:val="00666C96"/>
    <w:rsid w:val="00684DB5"/>
    <w:rsid w:val="006875FD"/>
    <w:rsid w:val="00694522"/>
    <w:rsid w:val="006A17B4"/>
    <w:rsid w:val="006B0785"/>
    <w:rsid w:val="006F1C1C"/>
    <w:rsid w:val="006F4EB5"/>
    <w:rsid w:val="00700A24"/>
    <w:rsid w:val="00741C37"/>
    <w:rsid w:val="007714B5"/>
    <w:rsid w:val="0078419F"/>
    <w:rsid w:val="00787EDE"/>
    <w:rsid w:val="007910C8"/>
    <w:rsid w:val="007973A2"/>
    <w:rsid w:val="007A6D2E"/>
    <w:rsid w:val="007E7187"/>
    <w:rsid w:val="008134CB"/>
    <w:rsid w:val="008464B4"/>
    <w:rsid w:val="00886C51"/>
    <w:rsid w:val="0089509A"/>
    <w:rsid w:val="008971BE"/>
    <w:rsid w:val="008B3CD5"/>
    <w:rsid w:val="008C7EA4"/>
    <w:rsid w:val="008E2CBC"/>
    <w:rsid w:val="008E35B5"/>
    <w:rsid w:val="008F0059"/>
    <w:rsid w:val="008F35A3"/>
    <w:rsid w:val="0090365C"/>
    <w:rsid w:val="009101A7"/>
    <w:rsid w:val="00926017"/>
    <w:rsid w:val="00932C0E"/>
    <w:rsid w:val="00954601"/>
    <w:rsid w:val="009718F4"/>
    <w:rsid w:val="00972717"/>
    <w:rsid w:val="00977911"/>
    <w:rsid w:val="00983B94"/>
    <w:rsid w:val="009A78C4"/>
    <w:rsid w:val="009B7CEB"/>
    <w:rsid w:val="009D53E5"/>
    <w:rsid w:val="00A46AC3"/>
    <w:rsid w:val="00A52165"/>
    <w:rsid w:val="00A53694"/>
    <w:rsid w:val="00A5574B"/>
    <w:rsid w:val="00A6528B"/>
    <w:rsid w:val="00A74224"/>
    <w:rsid w:val="00A83E1C"/>
    <w:rsid w:val="00A8726C"/>
    <w:rsid w:val="00A942A5"/>
    <w:rsid w:val="00A979F0"/>
    <w:rsid w:val="00AC27FF"/>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5618"/>
    <w:rsid w:val="00BF0EF8"/>
    <w:rsid w:val="00C121F8"/>
    <w:rsid w:val="00C41CF3"/>
    <w:rsid w:val="00C4549C"/>
    <w:rsid w:val="00C63CF1"/>
    <w:rsid w:val="00C64C4D"/>
    <w:rsid w:val="00C94473"/>
    <w:rsid w:val="00CE3855"/>
    <w:rsid w:val="00D059C3"/>
    <w:rsid w:val="00D2005D"/>
    <w:rsid w:val="00D20771"/>
    <w:rsid w:val="00D208ED"/>
    <w:rsid w:val="00D51828"/>
    <w:rsid w:val="00D91FBA"/>
    <w:rsid w:val="00D97244"/>
    <w:rsid w:val="00DB1FEF"/>
    <w:rsid w:val="00DB51EC"/>
    <w:rsid w:val="00DC1FEF"/>
    <w:rsid w:val="00DC2B83"/>
    <w:rsid w:val="00DD148F"/>
    <w:rsid w:val="00DE6092"/>
    <w:rsid w:val="00E4310B"/>
    <w:rsid w:val="00E43CA9"/>
    <w:rsid w:val="00E62E9C"/>
    <w:rsid w:val="00E73115"/>
    <w:rsid w:val="00E762E5"/>
    <w:rsid w:val="00EA2CCC"/>
    <w:rsid w:val="00EA5A39"/>
    <w:rsid w:val="00EB340A"/>
    <w:rsid w:val="00EE39C8"/>
    <w:rsid w:val="00F07682"/>
    <w:rsid w:val="00F434B2"/>
    <w:rsid w:val="00F44CEB"/>
    <w:rsid w:val="00F70E53"/>
    <w:rsid w:val="00FA0B7B"/>
    <w:rsid w:val="00FA2BFA"/>
    <w:rsid w:val="00FA6BC1"/>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868228416">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53B18C-BBBD-47A9-B96F-E044A23E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9831</Words>
  <Characters>56038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Болдырева Оксана Владиславовна</cp:lastModifiedBy>
  <cp:revision>30</cp:revision>
  <cp:lastPrinted>2023-03-14T15:19:00Z</cp:lastPrinted>
  <dcterms:created xsi:type="dcterms:W3CDTF">2022-10-24T08:20:00Z</dcterms:created>
  <dcterms:modified xsi:type="dcterms:W3CDTF">2023-03-14T15:21:00Z</dcterms:modified>
</cp:coreProperties>
</file>