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29" w:rsidRDefault="00F83529" w:rsidP="00F8352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F83529" w:rsidRDefault="00F83529" w:rsidP="00F8352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F83529" w:rsidRDefault="00F83529" w:rsidP="00F8352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F83529" w:rsidRPr="00656F1D" w:rsidRDefault="00F83529" w:rsidP="00656F1D">
      <w:pPr>
        <w:jc w:val="center"/>
        <w:rPr>
          <w:b/>
        </w:rPr>
      </w:pPr>
      <w:r>
        <w:rPr>
          <w:b/>
        </w:rPr>
        <w:t>рассмотрения единственной заявки на участие в аукционе в электронной форме</w:t>
      </w:r>
    </w:p>
    <w:p w:rsidR="00F83529" w:rsidRDefault="00F83529" w:rsidP="00F83529">
      <w:pPr>
        <w:jc w:val="both"/>
      </w:pPr>
      <w:r>
        <w:t>«27» июня 2017 г.                                                                                                 № 0187300005817000193-1</w:t>
      </w:r>
    </w:p>
    <w:p w:rsidR="00F83529" w:rsidRDefault="00F83529" w:rsidP="00F83529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F83529" w:rsidRDefault="00F83529" w:rsidP="00F83529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F83529" w:rsidRDefault="00F83529" w:rsidP="00F83529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83529" w:rsidRDefault="00F83529" w:rsidP="00F83529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-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83529" w:rsidRDefault="00F83529" w:rsidP="00F83529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F83529" w:rsidRDefault="00F83529" w:rsidP="00F83529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83529" w:rsidRDefault="00F83529" w:rsidP="00F83529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83529" w:rsidRDefault="00F83529" w:rsidP="00F83529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F83529" w:rsidRDefault="00F83529" w:rsidP="00F83529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F83529" w:rsidRDefault="00F83529" w:rsidP="00F83529">
      <w:pPr>
        <w:jc w:val="both"/>
        <w:rPr>
          <w:bCs/>
        </w:rPr>
      </w:pPr>
      <w:r>
        <w:rPr>
          <w:bCs/>
        </w:rPr>
        <w:t>Представитель заказчика:</w:t>
      </w:r>
      <w:r>
        <w:rPr>
          <w:b/>
          <w:bCs/>
          <w:color w:val="0070C0"/>
        </w:rPr>
        <w:t xml:space="preserve"> </w:t>
      </w:r>
      <w:r>
        <w:t>Логинова Наталья Николаевна</w:t>
      </w:r>
      <w:r>
        <w:rPr>
          <w:bCs/>
        </w:rPr>
        <w:t xml:space="preserve">, </w:t>
      </w:r>
      <w:r>
        <w:t>ведущий специалист МКУ «Центр материально-технического и информационно-методического обеспечения»</w:t>
      </w:r>
      <w:r>
        <w:rPr>
          <w:bCs/>
        </w:rPr>
        <w:t>.</w:t>
      </w:r>
    </w:p>
    <w:p w:rsidR="00F83529" w:rsidRDefault="00F83529" w:rsidP="00F83529">
      <w:pPr>
        <w:jc w:val="both"/>
        <w:rPr>
          <w:bCs/>
        </w:rPr>
      </w:pPr>
      <w:r>
        <w:rPr>
          <w:bCs/>
        </w:rPr>
        <w:t xml:space="preserve">1. Наименование аукциона: аукцион в электронной форме № 0187300005817000193 </w:t>
      </w:r>
      <w:r>
        <w:t>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хозяйственных товаров</w:t>
      </w:r>
      <w:r>
        <w:rPr>
          <w:bCs/>
        </w:rPr>
        <w:t>.</w:t>
      </w:r>
    </w:p>
    <w:p w:rsidR="00F83529" w:rsidRDefault="00F83529" w:rsidP="00F83529">
      <w:pPr>
        <w:jc w:val="both"/>
        <w:rPr>
          <w:bCs/>
        </w:rPr>
      </w:pPr>
      <w:r>
        <w:rPr>
          <w:bCs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bCs/>
            <w:color w:val="auto"/>
            <w:u w:val="none"/>
          </w:rPr>
          <w:t>http://zakupki.gov.ru/</w:t>
        </w:r>
      </w:hyperlink>
      <w:r>
        <w:rPr>
          <w:bCs/>
        </w:rPr>
        <w:t xml:space="preserve">, код аукциона 0187300005817000193, дата публикации 16.06.2017. </w:t>
      </w:r>
    </w:p>
    <w:p w:rsidR="00F83529" w:rsidRDefault="00F83529" w:rsidP="00F83529">
      <w:pPr>
        <w:jc w:val="both"/>
        <w:rPr>
          <w:bCs/>
        </w:rPr>
      </w:pPr>
      <w:r>
        <w:rPr>
          <w:bCs/>
        </w:rPr>
        <w:t xml:space="preserve">Идентификационный номер закупки: </w:t>
      </w:r>
      <w:r w:rsidRPr="00F83529">
        <w:rPr>
          <w:bCs/>
        </w:rPr>
        <w:t>173862201554386220100100350020000244.</w:t>
      </w:r>
    </w:p>
    <w:p w:rsidR="00F83529" w:rsidRDefault="00F83529" w:rsidP="00F83529">
      <w:pPr>
        <w:jc w:val="both"/>
        <w:rPr>
          <w:bCs/>
        </w:rPr>
      </w:pPr>
      <w:r>
        <w:rPr>
          <w:bCs/>
        </w:rPr>
        <w:t xml:space="preserve">2. Заказчик: </w:t>
      </w:r>
      <w:r>
        <w:t>Муниципальное казенное учреждение «Центр материально- технического и информационно-методического обеспечения»</w:t>
      </w:r>
      <w:r>
        <w:rPr>
          <w:bCs/>
        </w:rPr>
        <w:t xml:space="preserve">. Почтовый адрес: 628260, г. </w:t>
      </w:r>
      <w:proofErr w:type="spellStart"/>
      <w:r>
        <w:rPr>
          <w:bCs/>
        </w:rPr>
        <w:t>Югорск</w:t>
      </w:r>
      <w:proofErr w:type="spellEnd"/>
      <w:r>
        <w:rPr>
          <w:bCs/>
        </w:rPr>
        <w:t xml:space="preserve">, </w:t>
      </w:r>
      <w:r>
        <w:t>ул. Геологов, 9</w:t>
      </w:r>
      <w:r>
        <w:rPr>
          <w:bCs/>
        </w:rPr>
        <w:t>, Ханты-Мансийский  автономный  округ-Югра, Тюменская область.</w:t>
      </w:r>
    </w:p>
    <w:p w:rsidR="00F83529" w:rsidRDefault="00F83529" w:rsidP="00F83529">
      <w:pPr>
        <w:jc w:val="both"/>
        <w:rPr>
          <w:bCs/>
        </w:rPr>
      </w:pPr>
      <w:r>
        <w:rPr>
          <w:bCs/>
        </w:rPr>
        <w:t xml:space="preserve">3. Процедура рассмотрения первых частей заявок на участие в аукционе была проведена комиссией в 10.00 часов 27 июня 2017 года, по адресу: ул. 40 лет Победы, 11, г. </w:t>
      </w:r>
      <w:proofErr w:type="spellStart"/>
      <w:r>
        <w:rPr>
          <w:bCs/>
        </w:rPr>
        <w:t>Югорск</w:t>
      </w:r>
      <w:proofErr w:type="spellEnd"/>
      <w:r>
        <w:rPr>
          <w:bCs/>
        </w:rPr>
        <w:t>, Ханты-Мансийский  автономный  округ-Югра, Тюменская область.</w:t>
      </w:r>
    </w:p>
    <w:p w:rsidR="00F83529" w:rsidRDefault="00F83529" w:rsidP="00F83529">
      <w:pPr>
        <w:jc w:val="both"/>
        <w:rPr>
          <w:bCs/>
        </w:rPr>
      </w:pPr>
      <w:r>
        <w:rPr>
          <w:bCs/>
        </w:rPr>
        <w:t>4. </w:t>
      </w:r>
      <w:proofErr w:type="gramStart"/>
      <w:r>
        <w:rPr>
          <w:bCs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bCs/>
        </w:rPr>
        <w:t xml:space="preserve"> «26» июня 2017г. 10 часов 00 минут была подана: 1 (одна) заявка на участие в аукционе (под номером №1).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9433"/>
      </w:tblGrid>
      <w:tr w:rsidR="00F83529" w:rsidTr="00F83529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pStyle w:val="a4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pStyle w:val="a4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F83529" w:rsidTr="00F83529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29" w:rsidRDefault="00656F1D" w:rsidP="00F83529">
            <w:pPr>
              <w:pStyle w:val="a4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217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6247"/>
            </w:tblGrid>
            <w:tr w:rsidR="00656F1D" w:rsidTr="00F8352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t xml:space="preserve">Наименование участника </w:t>
                  </w:r>
                </w:p>
              </w:tc>
              <w:tc>
                <w:tcPr>
                  <w:tcW w:w="62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rPr>
                      <w:b/>
                      <w:bCs/>
                    </w:rPr>
                    <w:t>Индивидуальный предприниматель Нестеров Максим Иванович</w:t>
                  </w:r>
                </w:p>
              </w:tc>
            </w:tr>
            <w:tr w:rsidR="00656F1D" w:rsidTr="00F8352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t xml:space="preserve">ИНН </w:t>
                  </w:r>
                </w:p>
              </w:tc>
              <w:tc>
                <w:tcPr>
                  <w:tcW w:w="62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t>744805631868</w:t>
                  </w:r>
                </w:p>
              </w:tc>
            </w:tr>
            <w:tr w:rsidR="00656F1D" w:rsidTr="00F8352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t xml:space="preserve">КПП </w:t>
                  </w:r>
                </w:p>
              </w:tc>
              <w:tc>
                <w:tcPr>
                  <w:tcW w:w="62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56F1D" w:rsidTr="00F8352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t xml:space="preserve">Юридический адрес </w:t>
                  </w:r>
                </w:p>
              </w:tc>
              <w:tc>
                <w:tcPr>
                  <w:tcW w:w="62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t xml:space="preserve">454000, Челябинская </w:t>
                  </w:r>
                  <w:proofErr w:type="spellStart"/>
                  <w:r w:rsidRPr="00656F1D">
                    <w:t>обл</w:t>
                  </w:r>
                  <w:proofErr w:type="spellEnd"/>
                  <w:r w:rsidRPr="00656F1D">
                    <w:t xml:space="preserve">, Челябинск г, </w:t>
                  </w:r>
                  <w:proofErr w:type="spellStart"/>
                  <w:r w:rsidRPr="00656F1D">
                    <w:t>ул</w:t>
                  </w:r>
                  <w:proofErr w:type="gramStart"/>
                  <w:r w:rsidRPr="00656F1D">
                    <w:t>.Ч</w:t>
                  </w:r>
                  <w:proofErr w:type="gramEnd"/>
                  <w:r w:rsidRPr="00656F1D">
                    <w:t>ичерина</w:t>
                  </w:r>
                  <w:proofErr w:type="spellEnd"/>
                  <w:r w:rsidRPr="00656F1D">
                    <w:t>, д.6</w:t>
                  </w:r>
                </w:p>
              </w:tc>
            </w:tr>
            <w:tr w:rsidR="00656F1D" w:rsidTr="00F8352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t xml:space="preserve">Почтовый адрес </w:t>
                  </w:r>
                </w:p>
              </w:tc>
              <w:tc>
                <w:tcPr>
                  <w:tcW w:w="62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t xml:space="preserve">454000, Челябинская </w:t>
                  </w:r>
                  <w:proofErr w:type="spellStart"/>
                  <w:r w:rsidRPr="00656F1D">
                    <w:t>обл</w:t>
                  </w:r>
                  <w:proofErr w:type="spellEnd"/>
                  <w:r w:rsidRPr="00656F1D">
                    <w:t xml:space="preserve">, Челябинск г, </w:t>
                  </w:r>
                  <w:proofErr w:type="spellStart"/>
                  <w:r w:rsidRPr="00656F1D">
                    <w:t>ул</w:t>
                  </w:r>
                  <w:proofErr w:type="gramStart"/>
                  <w:r w:rsidRPr="00656F1D">
                    <w:t>.Ч</w:t>
                  </w:r>
                  <w:proofErr w:type="gramEnd"/>
                  <w:r w:rsidRPr="00656F1D">
                    <w:t>ичерина</w:t>
                  </w:r>
                  <w:proofErr w:type="spellEnd"/>
                  <w:r w:rsidRPr="00656F1D">
                    <w:t>, д.6</w:t>
                  </w:r>
                </w:p>
              </w:tc>
            </w:tr>
            <w:tr w:rsidR="00656F1D" w:rsidTr="00F8352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t xml:space="preserve">Контактный телефон </w:t>
                  </w:r>
                </w:p>
              </w:tc>
              <w:tc>
                <w:tcPr>
                  <w:tcW w:w="62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6F1D" w:rsidRPr="00656F1D" w:rsidRDefault="00656F1D">
                  <w:r w:rsidRPr="00656F1D">
                    <w:t>89043063050</w:t>
                  </w:r>
                </w:p>
              </w:tc>
            </w:tr>
          </w:tbl>
          <w:p w:rsidR="00F83529" w:rsidRDefault="00F83529" w:rsidP="00F83529">
            <w:pPr>
              <w:rPr>
                <w:rFonts w:ascii="Calibri" w:eastAsia="Calibri" w:hAnsi="Calibri"/>
              </w:rPr>
            </w:pPr>
          </w:p>
        </w:tc>
      </w:tr>
    </w:tbl>
    <w:p w:rsidR="00F83529" w:rsidRDefault="00F83529" w:rsidP="00F83529">
      <w:pPr>
        <w:jc w:val="both"/>
        <w:rPr>
          <w:bCs/>
        </w:rPr>
      </w:pPr>
    </w:p>
    <w:p w:rsidR="00F83529" w:rsidRDefault="00F83529" w:rsidP="00F83529">
      <w:pPr>
        <w:jc w:val="both"/>
        <w:rPr>
          <w:bCs/>
        </w:rPr>
      </w:pPr>
      <w:r>
        <w:rPr>
          <w:bCs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F83529" w:rsidRDefault="00F83529" w:rsidP="00F83529">
      <w:pPr>
        <w:jc w:val="both"/>
        <w:rPr>
          <w:bCs/>
        </w:rPr>
      </w:pPr>
      <w:r>
        <w:rPr>
          <w:bCs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F83529" w:rsidRDefault="00F83529" w:rsidP="00F83529">
      <w:pPr>
        <w:jc w:val="both"/>
        <w:rPr>
          <w:bCs/>
        </w:rPr>
      </w:pPr>
      <w:r>
        <w:rPr>
          <w:bCs/>
        </w:rPr>
        <w:lastRenderedPageBreak/>
        <w:t xml:space="preserve">6.1) о несоответствии </w:t>
      </w:r>
      <w:r w:rsidR="0044233A">
        <w:rPr>
          <w:bCs/>
        </w:rPr>
        <w:t xml:space="preserve">заявки </w:t>
      </w:r>
      <w:r>
        <w:rPr>
          <w:bCs/>
        </w:rPr>
        <w:t>участника аукциона, подавшего единственную заявку на участие в аукционе</w:t>
      </w:r>
      <w:r w:rsidR="0044233A">
        <w:rPr>
          <w:bCs/>
        </w:rPr>
        <w:t xml:space="preserve"> №1</w:t>
      </w:r>
      <w:r>
        <w:rPr>
          <w:bCs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аукционе: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3016"/>
        <w:gridCol w:w="1701"/>
        <w:gridCol w:w="1701"/>
        <w:gridCol w:w="1844"/>
      </w:tblGrid>
      <w:tr w:rsidR="00F83529" w:rsidTr="00F83529">
        <w:trPr>
          <w:cantSplit/>
          <w:trHeight w:val="772"/>
          <w:tblHeader/>
        </w:trPr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30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F83529" w:rsidTr="00F63272">
        <w:trPr>
          <w:cantSplit/>
          <w:trHeight w:val="947"/>
          <w:tblHeader/>
        </w:trPr>
        <w:tc>
          <w:tcPr>
            <w:tcW w:w="23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529" w:rsidRDefault="00F83529" w:rsidP="00F83529">
            <w:pPr>
              <w:rPr>
                <w:lang w:eastAsia="en-US"/>
              </w:rPr>
            </w:pPr>
          </w:p>
        </w:tc>
        <w:tc>
          <w:tcPr>
            <w:tcW w:w="3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rPr>
                <w:lang w:eastAsia="en-US"/>
              </w:rPr>
            </w:pPr>
          </w:p>
        </w:tc>
      </w:tr>
      <w:tr w:rsidR="00F83529" w:rsidTr="00F63272">
        <w:trPr>
          <w:cantSplit/>
          <w:trHeight w:val="947"/>
          <w:tblHeader/>
        </w:trPr>
        <w:tc>
          <w:tcPr>
            <w:tcW w:w="23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529" w:rsidRDefault="00F83529" w:rsidP="00F83529">
            <w:pPr>
              <w:jc w:val="center"/>
              <w:rPr>
                <w:spacing w:val="-6"/>
              </w:rPr>
            </w:pPr>
            <w:r>
              <w:rPr>
                <w:color w:val="000000"/>
                <w:spacing w:val="-6"/>
                <w:lang w:eastAsia="en-US"/>
              </w:rPr>
              <w:t xml:space="preserve">№ </w:t>
            </w:r>
            <w:r w:rsidR="00656F1D">
              <w:rPr>
                <w:bCs/>
              </w:rPr>
              <w:t>1</w:t>
            </w:r>
          </w:p>
          <w:p w:rsidR="00F83529" w:rsidRDefault="00656F1D" w:rsidP="00F83529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Индивидуальный предприниматель Нестеров Максим Иванович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529" w:rsidRDefault="00F63272" w:rsidP="00660572">
            <w:pPr>
              <w:widowControl w:val="0"/>
              <w:jc w:val="both"/>
              <w:rPr>
                <w:lang w:eastAsia="en-US"/>
              </w:rPr>
            </w:pPr>
            <w:proofErr w:type="gramStart"/>
            <w:r>
              <w:rPr>
                <w:noProof/>
              </w:rPr>
              <w:t>К</w:t>
            </w:r>
            <w:r w:rsidR="00F83529">
              <w:rPr>
                <w:noProof/>
              </w:rPr>
              <w:t>онкретные показате</w:t>
            </w:r>
            <w:r>
              <w:rPr>
                <w:noProof/>
              </w:rPr>
              <w:t>ли предлагаемого товара не соотве</w:t>
            </w:r>
            <w:r w:rsidR="0044233A">
              <w:rPr>
                <w:noProof/>
              </w:rPr>
              <w:t>т</w:t>
            </w:r>
            <w:r>
              <w:rPr>
                <w:noProof/>
              </w:rPr>
              <w:t>ствуют требованиям документации об аукционе (пункт 2</w:t>
            </w:r>
            <w:r w:rsidR="00F83529">
              <w:rPr>
                <w:noProof/>
              </w:rPr>
              <w:t xml:space="preserve"> части 4 статьи 67 Федерального закона от 05.04.2013 №44-ФЗ)</w:t>
            </w:r>
            <w:r w:rsidR="0044233A">
              <w:rPr>
                <w:noProof/>
              </w:rPr>
              <w:t>, а именно</w:t>
            </w:r>
            <w:r w:rsidR="0044233A">
              <w:rPr>
                <w:color w:val="000000"/>
                <w:lang w:eastAsia="en-US"/>
              </w:rPr>
              <w:t xml:space="preserve">: по позиции 2 </w:t>
            </w:r>
            <w:r w:rsidR="0044233A">
              <w:rPr>
                <w:lang w:eastAsia="en-US"/>
              </w:rPr>
              <w:t xml:space="preserve">требуется в составе </w:t>
            </w:r>
            <w:proofErr w:type="spellStart"/>
            <w:r w:rsidR="0044233A">
              <w:rPr>
                <w:lang w:eastAsia="en-US"/>
              </w:rPr>
              <w:t>лаурил</w:t>
            </w:r>
            <w:proofErr w:type="spellEnd"/>
            <w:r w:rsidR="0044233A">
              <w:rPr>
                <w:lang w:eastAsia="en-US"/>
              </w:rPr>
              <w:t xml:space="preserve">, а предлагается </w:t>
            </w:r>
            <w:proofErr w:type="spellStart"/>
            <w:r w:rsidR="0044233A">
              <w:rPr>
                <w:lang w:eastAsia="en-US"/>
              </w:rPr>
              <w:t>лаурет</w:t>
            </w:r>
            <w:proofErr w:type="spellEnd"/>
            <w:r w:rsidR="0044233A">
              <w:rPr>
                <w:lang w:eastAsia="en-US"/>
              </w:rPr>
              <w:t xml:space="preserve">, требуется </w:t>
            </w:r>
            <w:proofErr w:type="spellStart"/>
            <w:r w:rsidR="0044233A">
              <w:rPr>
                <w:lang w:eastAsia="en-US"/>
              </w:rPr>
              <w:t>лаурил</w:t>
            </w:r>
            <w:proofErr w:type="spellEnd"/>
            <w:r w:rsidR="0044233A">
              <w:rPr>
                <w:lang w:eastAsia="en-US"/>
              </w:rPr>
              <w:t xml:space="preserve"> </w:t>
            </w:r>
            <w:proofErr w:type="spellStart"/>
            <w:r w:rsidR="0044233A">
              <w:rPr>
                <w:lang w:eastAsia="en-US"/>
              </w:rPr>
              <w:t>глюкозит</w:t>
            </w:r>
            <w:proofErr w:type="spellEnd"/>
            <w:r w:rsidR="0044233A">
              <w:rPr>
                <w:lang w:eastAsia="en-US"/>
              </w:rPr>
              <w:t xml:space="preserve"> хлорид натрия, а предлагается хлорид натрия; по позиции 6 в составе отсутствует </w:t>
            </w:r>
            <w:proofErr w:type="spellStart"/>
            <w:r w:rsidR="0044233A">
              <w:rPr>
                <w:lang w:eastAsia="en-US"/>
              </w:rPr>
              <w:t>пропиленгликоль</w:t>
            </w:r>
            <w:proofErr w:type="spellEnd"/>
            <w:r w:rsidR="0044233A">
              <w:rPr>
                <w:lang w:eastAsia="en-US"/>
              </w:rPr>
              <w:t xml:space="preserve">; по позиции  8 в составе отсутствует </w:t>
            </w:r>
            <w:proofErr w:type="spellStart"/>
            <w:r w:rsidR="0044233A">
              <w:rPr>
                <w:lang w:eastAsia="en-US"/>
              </w:rPr>
              <w:t>цитраль</w:t>
            </w:r>
            <w:proofErr w:type="spellEnd"/>
            <w:r w:rsidR="0044233A">
              <w:rPr>
                <w:lang w:eastAsia="en-US"/>
              </w:rPr>
              <w:t>;</w:t>
            </w:r>
            <w:proofErr w:type="gramEnd"/>
            <w:r w:rsidR="0044233A">
              <w:rPr>
                <w:lang w:eastAsia="en-US"/>
              </w:rPr>
              <w:t xml:space="preserve"> по позиции 10 отсутствует конкретный показатель объема: присутствуют слова «не менее», в составе отсутствуют неионогенные ПАВ, </w:t>
            </w:r>
            <w:proofErr w:type="spellStart"/>
            <w:r w:rsidR="0044233A">
              <w:rPr>
                <w:lang w:eastAsia="en-US"/>
              </w:rPr>
              <w:t>гексилкоричный</w:t>
            </w:r>
            <w:proofErr w:type="spellEnd"/>
            <w:r w:rsidR="0044233A">
              <w:rPr>
                <w:lang w:eastAsia="en-US"/>
              </w:rPr>
              <w:t xml:space="preserve"> альдегид, </w:t>
            </w:r>
            <w:proofErr w:type="spellStart"/>
            <w:r w:rsidR="0044233A">
              <w:rPr>
                <w:lang w:eastAsia="en-US"/>
              </w:rPr>
              <w:t>лимонен</w:t>
            </w:r>
            <w:proofErr w:type="spellEnd"/>
            <w:r w:rsidR="0044233A">
              <w:rPr>
                <w:lang w:eastAsia="en-US"/>
              </w:rPr>
              <w:t xml:space="preserve">, </w:t>
            </w:r>
            <w:proofErr w:type="spellStart"/>
            <w:r w:rsidR="0044233A">
              <w:rPr>
                <w:lang w:eastAsia="en-US"/>
              </w:rPr>
              <w:t>линалоол</w:t>
            </w:r>
            <w:proofErr w:type="spellEnd"/>
            <w:r w:rsidR="0044233A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подпункт б) пункта 1 части 3 статьи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пункт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первая часть заявки </w:t>
            </w:r>
          </w:p>
        </w:tc>
      </w:tr>
    </w:tbl>
    <w:p w:rsidR="00F83529" w:rsidRDefault="00F83529" w:rsidP="00F83529">
      <w:pPr>
        <w:jc w:val="both"/>
        <w:rPr>
          <w:bCs/>
        </w:rPr>
      </w:pPr>
    </w:p>
    <w:p w:rsidR="00F83529" w:rsidRPr="00656F1D" w:rsidRDefault="00F83529" w:rsidP="00656F1D">
      <w:pPr>
        <w:jc w:val="both"/>
        <w:rPr>
          <w:bCs/>
        </w:rPr>
      </w:pPr>
      <w:r>
        <w:rPr>
          <w:bCs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bCs/>
            <w:color w:val="auto"/>
            <w:u w:val="none"/>
          </w:rPr>
          <w:t>http://www.sberbank-ast.ru</w:t>
        </w:r>
      </w:hyperlink>
      <w:r>
        <w:rPr>
          <w:bCs/>
        </w:rPr>
        <w:t>.</w:t>
      </w:r>
    </w:p>
    <w:p w:rsidR="00F83529" w:rsidRDefault="00F83529" w:rsidP="00F83529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F83529" w:rsidRDefault="00F83529" w:rsidP="00F83529">
      <w:pPr>
        <w:jc w:val="center"/>
        <w:rPr>
          <w:noProof/>
        </w:rPr>
      </w:pPr>
      <w:r>
        <w:rPr>
          <w:noProof/>
        </w:rPr>
        <w:t xml:space="preserve">членов комиссии о соответствии/о несоответствии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tbl>
      <w:tblPr>
        <w:tblW w:w="107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523"/>
        <w:gridCol w:w="2703"/>
      </w:tblGrid>
      <w:tr w:rsidR="00F83529" w:rsidTr="00F835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Default="00F83529" w:rsidP="00F83529">
            <w:pPr>
              <w:widowControl w:val="0"/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F83529" w:rsidTr="00F835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29" w:rsidRDefault="00F83529" w:rsidP="00F83529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29" w:rsidRDefault="00F83529" w:rsidP="00F83529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Pr="00656F1D" w:rsidRDefault="00F83529" w:rsidP="00F83529">
            <w:pPr>
              <w:widowControl w:val="0"/>
              <w:jc w:val="center"/>
            </w:pPr>
            <w:r w:rsidRPr="00656F1D">
              <w:t xml:space="preserve">С.Д. </w:t>
            </w:r>
            <w:proofErr w:type="spellStart"/>
            <w:r w:rsidRPr="00656F1D">
              <w:t>Голин</w:t>
            </w:r>
            <w:proofErr w:type="spellEnd"/>
          </w:p>
        </w:tc>
      </w:tr>
      <w:tr w:rsidR="00F83529" w:rsidTr="00F83529">
        <w:trPr>
          <w:trHeight w:val="10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29" w:rsidRDefault="00F83529" w:rsidP="00F83529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29" w:rsidRDefault="00F83529" w:rsidP="00F83529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Pr="00656F1D" w:rsidRDefault="00F83529" w:rsidP="00F83529">
            <w:pPr>
              <w:widowControl w:val="0"/>
              <w:jc w:val="center"/>
            </w:pPr>
            <w:r w:rsidRPr="00656F1D">
              <w:t xml:space="preserve">В.А. </w:t>
            </w:r>
            <w:proofErr w:type="spellStart"/>
            <w:r w:rsidRPr="00656F1D">
              <w:t>Климин</w:t>
            </w:r>
            <w:proofErr w:type="spellEnd"/>
            <w:r w:rsidRPr="00656F1D">
              <w:t xml:space="preserve"> </w:t>
            </w:r>
          </w:p>
        </w:tc>
      </w:tr>
      <w:tr w:rsidR="00F83529" w:rsidTr="00F835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29" w:rsidRDefault="00F83529" w:rsidP="00F83529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29" w:rsidRDefault="00F83529" w:rsidP="00F83529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Pr="00656F1D" w:rsidRDefault="00F83529" w:rsidP="00F83529">
            <w:pPr>
              <w:widowControl w:val="0"/>
              <w:jc w:val="center"/>
            </w:pPr>
            <w:r w:rsidRPr="00656F1D">
              <w:t>Н.А. Морозова</w:t>
            </w:r>
          </w:p>
        </w:tc>
      </w:tr>
      <w:tr w:rsidR="00F83529" w:rsidTr="00F835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29" w:rsidRDefault="00F83529" w:rsidP="00F83529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29" w:rsidRDefault="00F83529" w:rsidP="00F83529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Pr="00656F1D" w:rsidRDefault="00F83529" w:rsidP="00F83529">
            <w:pPr>
              <w:widowControl w:val="0"/>
              <w:jc w:val="center"/>
            </w:pPr>
            <w:r w:rsidRPr="00656F1D">
              <w:t xml:space="preserve">Т.И. </w:t>
            </w:r>
            <w:proofErr w:type="spellStart"/>
            <w:r w:rsidRPr="00656F1D">
              <w:t>Долгодворова</w:t>
            </w:r>
            <w:proofErr w:type="spellEnd"/>
          </w:p>
        </w:tc>
      </w:tr>
      <w:tr w:rsidR="00F83529" w:rsidTr="00F835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29" w:rsidRDefault="00F83529" w:rsidP="00F83529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29" w:rsidRDefault="00F83529" w:rsidP="00F83529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Pr="00656F1D" w:rsidRDefault="00F83529" w:rsidP="00F83529">
            <w:pPr>
              <w:widowControl w:val="0"/>
              <w:jc w:val="center"/>
            </w:pPr>
            <w:r w:rsidRPr="00656F1D">
              <w:t>А.Т. Абдуллаев</w:t>
            </w:r>
          </w:p>
        </w:tc>
      </w:tr>
      <w:tr w:rsidR="00F83529" w:rsidTr="00F8352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29" w:rsidRDefault="00F83529" w:rsidP="00F83529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29" w:rsidRDefault="00F83529" w:rsidP="00F83529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29" w:rsidRPr="00656F1D" w:rsidRDefault="00F83529" w:rsidP="00F83529">
            <w:pPr>
              <w:widowControl w:val="0"/>
              <w:jc w:val="center"/>
            </w:pPr>
            <w:r w:rsidRPr="00656F1D">
              <w:t>Н.Б. Захарова</w:t>
            </w:r>
          </w:p>
        </w:tc>
      </w:tr>
    </w:tbl>
    <w:p w:rsidR="00F83529" w:rsidRDefault="00F83529" w:rsidP="00F83529">
      <w:pPr>
        <w:jc w:val="both"/>
        <w:rPr>
          <w:b/>
        </w:rPr>
      </w:pPr>
      <w:r>
        <w:rPr>
          <w:b/>
        </w:rPr>
        <w:t xml:space="preserve">       </w:t>
      </w:r>
    </w:p>
    <w:p w:rsidR="00F83529" w:rsidRDefault="00F83529" w:rsidP="00F83529">
      <w:pPr>
        <w:jc w:val="center"/>
        <w:rPr>
          <w:noProof/>
        </w:rPr>
      </w:pPr>
    </w:p>
    <w:p w:rsidR="00F83529" w:rsidRPr="00656F1D" w:rsidRDefault="00F83529" w:rsidP="00F83529">
      <w:pPr>
        <w:jc w:val="both"/>
        <w:rPr>
          <w:b/>
        </w:rPr>
      </w:pPr>
      <w:r w:rsidRPr="00656F1D">
        <w:rPr>
          <w:b/>
        </w:rPr>
        <w:t xml:space="preserve">Председатель комиссии:                                                                </w:t>
      </w:r>
      <w:r w:rsidRPr="00656F1D">
        <w:rPr>
          <w:b/>
        </w:rPr>
        <w:tab/>
      </w:r>
      <w:r w:rsidRPr="00656F1D">
        <w:rPr>
          <w:b/>
        </w:rPr>
        <w:tab/>
        <w:t xml:space="preserve">С.Д. </w:t>
      </w:r>
      <w:proofErr w:type="spellStart"/>
      <w:r w:rsidRPr="00656F1D">
        <w:rPr>
          <w:b/>
        </w:rPr>
        <w:t>Голин</w:t>
      </w:r>
      <w:proofErr w:type="spellEnd"/>
    </w:p>
    <w:p w:rsidR="00F83529" w:rsidRPr="00656F1D" w:rsidRDefault="00F83529" w:rsidP="00F83529">
      <w:pPr>
        <w:jc w:val="both"/>
        <w:rPr>
          <w:b/>
        </w:rPr>
      </w:pPr>
    </w:p>
    <w:p w:rsidR="00F83529" w:rsidRPr="00656F1D" w:rsidRDefault="00F83529" w:rsidP="00F83529">
      <w:pPr>
        <w:jc w:val="both"/>
      </w:pPr>
      <w:r w:rsidRPr="00656F1D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F83529" w:rsidRPr="00656F1D" w:rsidRDefault="00656F1D" w:rsidP="00F83529">
      <w:pPr>
        <w:jc w:val="right"/>
      </w:pPr>
      <w:r w:rsidRPr="00656F1D">
        <w:t xml:space="preserve">___________________ В.А. </w:t>
      </w:r>
      <w:proofErr w:type="spellStart"/>
      <w:r w:rsidRPr="00656F1D">
        <w:t>Климин</w:t>
      </w:r>
      <w:proofErr w:type="spellEnd"/>
      <w:r w:rsidR="00F83529" w:rsidRPr="00656F1D">
        <w:t xml:space="preserve">                                                                </w:t>
      </w:r>
    </w:p>
    <w:p w:rsidR="00F83529" w:rsidRPr="00656F1D" w:rsidRDefault="00F83529" w:rsidP="00F83529">
      <w:pPr>
        <w:jc w:val="right"/>
      </w:pPr>
      <w:r w:rsidRPr="00656F1D">
        <w:t>___</w:t>
      </w:r>
      <w:r w:rsidR="00656F1D" w:rsidRPr="00656F1D">
        <w:t xml:space="preserve"> </w:t>
      </w:r>
      <w:r w:rsidRPr="00656F1D">
        <w:t>_</w:t>
      </w:r>
      <w:r w:rsidR="00656F1D" w:rsidRPr="00656F1D">
        <w:t xml:space="preserve">_____________________ Н.А. Морозова </w:t>
      </w:r>
    </w:p>
    <w:p w:rsidR="00F83529" w:rsidRPr="00656F1D" w:rsidRDefault="00F83529" w:rsidP="00F83529">
      <w:pPr>
        <w:jc w:val="right"/>
      </w:pPr>
      <w:r w:rsidRPr="00656F1D">
        <w:t xml:space="preserve">_____________________Т.И. </w:t>
      </w:r>
      <w:proofErr w:type="spellStart"/>
      <w:r w:rsidRPr="00656F1D">
        <w:t>Долгодворова</w:t>
      </w:r>
      <w:proofErr w:type="spellEnd"/>
    </w:p>
    <w:p w:rsidR="00F83529" w:rsidRPr="00656F1D" w:rsidRDefault="00F83529" w:rsidP="00F83529">
      <w:pPr>
        <w:jc w:val="right"/>
      </w:pPr>
      <w:r w:rsidRPr="00656F1D">
        <w:tab/>
      </w:r>
      <w:r w:rsidRPr="00656F1D">
        <w:tab/>
      </w:r>
      <w:r w:rsidRPr="00656F1D">
        <w:tab/>
      </w:r>
      <w:r w:rsidRPr="00656F1D">
        <w:tab/>
      </w:r>
      <w:r w:rsidRPr="00656F1D">
        <w:tab/>
      </w:r>
      <w:r w:rsidRPr="00656F1D">
        <w:tab/>
      </w:r>
      <w:r w:rsidRPr="00656F1D">
        <w:tab/>
        <w:t xml:space="preserve">  ____________________ А.Т. Абдуллаев </w:t>
      </w:r>
    </w:p>
    <w:p w:rsidR="00F83529" w:rsidRDefault="00F83529" w:rsidP="00F83529">
      <w:pPr>
        <w:jc w:val="right"/>
      </w:pPr>
      <w:r w:rsidRPr="00656F1D">
        <w:t>______________________Н.Б. Захарова</w:t>
      </w:r>
    </w:p>
    <w:p w:rsidR="00F83529" w:rsidRDefault="00F83529" w:rsidP="00F83529"/>
    <w:p w:rsidR="00F83529" w:rsidRDefault="00F83529" w:rsidP="00F83529">
      <w:r>
        <w:t>Представитель заказчика:                                                     __________________</w:t>
      </w:r>
      <w:r w:rsidR="00656F1D">
        <w:t>Н.Н. Логинова</w:t>
      </w:r>
    </w:p>
    <w:p w:rsidR="000F24B5" w:rsidRDefault="000F24B5" w:rsidP="00F83529"/>
    <w:p w:rsidR="00C5003B" w:rsidRDefault="00C5003B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F83529"/>
    <w:p w:rsidR="00656F1D" w:rsidRDefault="00656F1D" w:rsidP="00656F1D">
      <w:pPr>
        <w:ind w:right="-66"/>
        <w:jc w:val="right"/>
        <w:sectPr w:rsidR="00656F1D" w:rsidSect="00F83529">
          <w:pgSz w:w="11906" w:h="16838"/>
          <w:pgMar w:top="426" w:right="850" w:bottom="1134" w:left="567" w:header="708" w:footer="708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</w:t>
      </w:r>
    </w:p>
    <w:p w:rsidR="00656F1D" w:rsidRDefault="00656F1D" w:rsidP="00656F1D">
      <w:pPr>
        <w:ind w:right="-66"/>
        <w:jc w:val="right"/>
      </w:pPr>
      <w:r>
        <w:lastRenderedPageBreak/>
        <w:t>Приложение 1</w:t>
      </w:r>
    </w:p>
    <w:p w:rsidR="00656F1D" w:rsidRDefault="00656F1D" w:rsidP="00656F1D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</w:t>
      </w:r>
      <w:r w:rsidR="005C76FA">
        <w:t xml:space="preserve">                               к</w:t>
      </w:r>
      <w:r>
        <w:t xml:space="preserve"> </w:t>
      </w:r>
      <w:r>
        <w:rPr>
          <w:sz w:val="18"/>
          <w:szCs w:val="18"/>
        </w:rPr>
        <w:t>протоколу рассмотрения</w:t>
      </w:r>
    </w:p>
    <w:p w:rsidR="00656F1D" w:rsidRDefault="00656F1D" w:rsidP="00656F1D">
      <w:pPr>
        <w:jc w:val="right"/>
        <w:rPr>
          <w:sz w:val="18"/>
          <w:szCs w:val="18"/>
        </w:rPr>
      </w:pPr>
      <w:r>
        <w:rPr>
          <w:sz w:val="18"/>
          <w:szCs w:val="18"/>
        </w:rPr>
        <w:t>единственной заявки</w:t>
      </w:r>
    </w:p>
    <w:p w:rsidR="00656F1D" w:rsidRDefault="00656F1D" w:rsidP="00656F1D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на участие в аукционе в электронной форме</w:t>
      </w:r>
    </w:p>
    <w:p w:rsidR="00656F1D" w:rsidRPr="00F63272" w:rsidRDefault="00E93B5B" w:rsidP="00F63272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от «27</w:t>
      </w:r>
      <w:r w:rsidR="00656F1D">
        <w:rPr>
          <w:sz w:val="18"/>
          <w:szCs w:val="18"/>
        </w:rPr>
        <w:t>» июня  2017 г. № 01873000058170000193-1</w:t>
      </w:r>
    </w:p>
    <w:p w:rsidR="00656F1D" w:rsidRDefault="00656F1D" w:rsidP="00656F1D">
      <w:pPr>
        <w:jc w:val="center"/>
      </w:pPr>
      <w:r>
        <w:t xml:space="preserve">Таблица рассмотрения единственной заявки на участие </w:t>
      </w:r>
      <w:proofErr w:type="gramStart"/>
      <w:r>
        <w:t>в</w:t>
      </w:r>
      <w:proofErr w:type="gramEnd"/>
    </w:p>
    <w:p w:rsidR="00656F1D" w:rsidRDefault="00656F1D" w:rsidP="00F63272">
      <w:pPr>
        <w:jc w:val="center"/>
        <w:rPr>
          <w:bCs/>
        </w:rPr>
      </w:pPr>
      <w:proofErr w:type="gramStart"/>
      <w:r>
        <w:t>аукционе</w:t>
      </w:r>
      <w:proofErr w:type="gramEnd"/>
      <w:r>
        <w:t xml:space="preserve"> в электронной форме </w:t>
      </w:r>
      <w:r>
        <w:rPr>
          <w:bCs/>
        </w:rPr>
        <w:t>на право заключения  муниципального контракта</w:t>
      </w:r>
      <w:r>
        <w:rPr>
          <w:b/>
          <w:bCs/>
        </w:rPr>
        <w:t xml:space="preserve"> </w:t>
      </w:r>
      <w:r>
        <w:rPr>
          <w:bCs/>
        </w:rPr>
        <w:t>на поставку хозяйственных товаров.</w:t>
      </w:r>
    </w:p>
    <w:p w:rsidR="00656F1D" w:rsidRDefault="00656F1D" w:rsidP="00F63272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tbl>
      <w:tblPr>
        <w:tblW w:w="160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50"/>
        <w:gridCol w:w="1701"/>
        <w:gridCol w:w="1985"/>
        <w:gridCol w:w="2410"/>
        <w:gridCol w:w="887"/>
        <w:gridCol w:w="814"/>
        <w:gridCol w:w="3295"/>
      </w:tblGrid>
      <w:tr w:rsidR="00656F1D" w:rsidTr="00656F1D">
        <w:trPr>
          <w:trHeight w:val="2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объекта закупки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Характеристика товара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Ед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зм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№1</w:t>
            </w:r>
          </w:p>
        </w:tc>
      </w:tr>
      <w:tr w:rsidR="00656F1D" w:rsidTr="00F63272">
        <w:trPr>
          <w:trHeight w:val="86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tabs>
                <w:tab w:val="left" w:pos="-1620"/>
                <w:tab w:val="num" w:pos="43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Первая часть заявки</w:t>
            </w:r>
            <w:r>
              <w:rPr>
                <w:lang w:eastAsia="en-US"/>
              </w:rPr>
              <w:t xml:space="preserve"> на участие в электронном аукционе должна содержать следующие сведения:</w:t>
            </w:r>
          </w:p>
          <w:p w:rsidR="00656F1D" w:rsidRDefault="00656F1D">
            <w:pPr>
              <w:spacing w:line="276" w:lineRule="auto"/>
              <w:ind w:firstLine="585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наименование страны происхождения товара. </w:t>
            </w:r>
            <w:proofErr w:type="gramEnd"/>
          </w:p>
          <w:p w:rsidR="00656F1D" w:rsidRDefault="00656F1D">
            <w:pPr>
              <w:spacing w:line="276" w:lineRule="auto"/>
              <w:ind w:firstLine="585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закупки также указывает страну происхождения товара* в случае, если в пункте 39 настоящего раздела предусмотрено предоставление преференций участникам закупки, заявки на </w:t>
            </w:r>
            <w:r>
              <w:rPr>
                <w:lang w:eastAsia="en-US"/>
              </w:rPr>
              <w:lastRenderedPageBreak/>
              <w:t>участие в аукционе которых содержат предложения о поставке товаров, произведенных на территории государств – членов Евразийского экономического союза.</w:t>
            </w:r>
          </w:p>
          <w:p w:rsidR="00656F1D" w:rsidRDefault="00656F1D">
            <w:pPr>
              <w:autoSpaceDE w:val="0"/>
              <w:autoSpaceDN w:val="0"/>
              <w:adjustRightInd w:val="0"/>
              <w:spacing w:line="276" w:lineRule="auto"/>
              <w:ind w:firstLine="612"/>
              <w:rPr>
                <w:lang w:eastAsia="en-US"/>
              </w:rPr>
            </w:pPr>
            <w:r>
              <w:rPr>
                <w:lang w:eastAsia="en-US"/>
              </w:rPr>
              <w:t xml:space="preserve">*Наименование страны происхождения товаров указывается в соответствии с Общероссийским классификатором стран мира </w:t>
            </w:r>
            <w:proofErr w:type="gramStart"/>
            <w:r>
              <w:rPr>
                <w:lang w:eastAsia="en-US"/>
              </w:rPr>
              <w:t>ОК</w:t>
            </w:r>
            <w:proofErr w:type="gramEnd"/>
            <w:r>
              <w:rPr>
                <w:lang w:eastAsia="en-US"/>
              </w:rPr>
              <w:t xml:space="preserve"> (МК (ИСО 3166) 004-97) 025-2001 (Постановление Госстандарта России от 14.12.2001 №529-ст «О принятии и введении в действие общероссийского классификатора стран мира»). Понятие страны происхождения товара регламентируется положениями части 1 статьи 58 Таможенного кодекса Таможенного Союза; </w:t>
            </w:r>
          </w:p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Pr="00F63272" w:rsidRDefault="00656F1D" w:rsidP="00F632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Ведро хозяйственное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Объем: не менее10 литров и не более 12 литров, без крышки из пластмассы.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Default="00656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Мыло жидкое</w:t>
            </w:r>
          </w:p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Pr="00F63272" w:rsidRDefault="00656F1D" w:rsidP="00F632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Состав: вода высокой очистки, </w:t>
            </w:r>
            <w:proofErr w:type="spellStart"/>
            <w:r w:rsidRPr="00656F1D">
              <w:rPr>
                <w:b/>
                <w:lang w:eastAsia="en-US"/>
              </w:rPr>
              <w:t>лаурил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этоксисульфат</w:t>
            </w:r>
            <w:proofErr w:type="spellEnd"/>
            <w:r>
              <w:rPr>
                <w:lang w:eastAsia="en-US"/>
              </w:rPr>
              <w:t xml:space="preserve"> натрия, глицерин, </w:t>
            </w:r>
            <w:proofErr w:type="spellStart"/>
            <w:r>
              <w:rPr>
                <w:lang w:eastAsia="en-US"/>
              </w:rPr>
              <w:t>кокомидопропилбетаин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656F1D">
              <w:rPr>
                <w:b/>
                <w:lang w:eastAsia="en-US"/>
              </w:rPr>
              <w:t>лаурил</w:t>
            </w:r>
            <w:proofErr w:type="spellEnd"/>
            <w:r w:rsidRPr="00656F1D">
              <w:rPr>
                <w:b/>
                <w:lang w:eastAsia="en-US"/>
              </w:rPr>
              <w:t xml:space="preserve"> </w:t>
            </w:r>
            <w:proofErr w:type="spellStart"/>
            <w:r w:rsidRPr="00656F1D">
              <w:rPr>
                <w:b/>
                <w:lang w:eastAsia="en-US"/>
              </w:rPr>
              <w:t>глюкозит</w:t>
            </w:r>
            <w:proofErr w:type="spellEnd"/>
            <w:r w:rsidRPr="00656F1D">
              <w:rPr>
                <w:b/>
                <w:lang w:eastAsia="en-US"/>
              </w:rPr>
              <w:t xml:space="preserve"> хлорид натрия</w:t>
            </w:r>
            <w:r>
              <w:rPr>
                <w:lang w:eastAsia="en-US"/>
              </w:rPr>
              <w:t>, консервант, красители пищевые, парфюмерные добавки. Форма выпуска: канистра не менее 5 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Не соответствует</w:t>
            </w:r>
          </w:p>
          <w:p w:rsidR="00656F1D" w:rsidRDefault="00656F1D" w:rsidP="00656F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(Требуется в составе </w:t>
            </w:r>
            <w:proofErr w:type="spellStart"/>
            <w:r>
              <w:rPr>
                <w:b/>
                <w:lang w:eastAsia="en-US"/>
              </w:rPr>
              <w:t>лаурил</w:t>
            </w:r>
            <w:proofErr w:type="spellEnd"/>
            <w:r>
              <w:rPr>
                <w:b/>
                <w:lang w:eastAsia="en-US"/>
              </w:rPr>
              <w:t xml:space="preserve">, а предлагается </w:t>
            </w:r>
            <w:proofErr w:type="spellStart"/>
            <w:r>
              <w:rPr>
                <w:b/>
                <w:lang w:eastAsia="en-US"/>
              </w:rPr>
              <w:t>лаурет</w:t>
            </w:r>
            <w:proofErr w:type="spellEnd"/>
            <w:r>
              <w:rPr>
                <w:b/>
                <w:lang w:eastAsia="en-US"/>
              </w:rPr>
              <w:t xml:space="preserve">, требуется </w:t>
            </w:r>
            <w:proofErr w:type="spellStart"/>
            <w:r>
              <w:rPr>
                <w:b/>
                <w:lang w:eastAsia="en-US"/>
              </w:rPr>
              <w:t>лаурил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глюкозит</w:t>
            </w:r>
            <w:proofErr w:type="spellEnd"/>
            <w:r>
              <w:rPr>
                <w:b/>
                <w:lang w:eastAsia="en-US"/>
              </w:rPr>
              <w:t xml:space="preserve"> хлорид натрия, а предлагается хлорид натрия.)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Default="00656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Перчатки </w:t>
            </w:r>
            <w:proofErr w:type="spellStart"/>
            <w:r>
              <w:rPr>
                <w:lang w:eastAsia="en-US"/>
              </w:rPr>
              <w:t>нитриловые</w:t>
            </w:r>
            <w:proofErr w:type="spellEnd"/>
          </w:p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Pr="00F63272" w:rsidRDefault="00656F1D" w:rsidP="00F632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Перчатки хозяйственные, </w:t>
            </w:r>
            <w:proofErr w:type="spellStart"/>
            <w:r>
              <w:rPr>
                <w:lang w:eastAsia="en-US"/>
              </w:rPr>
              <w:t>нитриловые</w:t>
            </w:r>
            <w:proofErr w:type="spellEnd"/>
            <w:r>
              <w:rPr>
                <w:lang w:eastAsia="en-US"/>
              </w:rPr>
              <w:t>, размер M. Используются перчатки при контакте с моющими, дезинфицирующими и другими химическими составами.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Default="00656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Перчатки</w:t>
            </w:r>
          </w:p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Перчатки </w:t>
            </w:r>
            <w:proofErr w:type="gramStart"/>
            <w:r>
              <w:rPr>
                <w:lang w:eastAsia="en-US"/>
              </w:rPr>
              <w:t>х/б</w:t>
            </w:r>
            <w:proofErr w:type="gramEnd"/>
            <w:r>
              <w:rPr>
                <w:lang w:eastAsia="en-US"/>
              </w:rPr>
              <w:t>, с точечным напылением ПВХ.  Класс вязки не менее 10.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Default="00656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Полотно </w:t>
            </w:r>
            <w:proofErr w:type="spellStart"/>
            <w:r>
              <w:rPr>
                <w:lang w:eastAsia="en-US"/>
              </w:rPr>
              <w:t>нетканное</w:t>
            </w:r>
            <w:proofErr w:type="spellEnd"/>
          </w:p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Pr="00F63272" w:rsidRDefault="00656F1D" w:rsidP="00F632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Ширина не менее 150 см, длина рулона не менее 50 м.  Плотность материала </w:t>
            </w:r>
            <w:proofErr w:type="gramStart"/>
            <w:r>
              <w:rPr>
                <w:lang w:eastAsia="en-US"/>
              </w:rPr>
              <w:t>–н</w:t>
            </w:r>
            <w:proofErr w:type="gramEnd"/>
            <w:r>
              <w:rPr>
                <w:lang w:eastAsia="en-US"/>
              </w:rPr>
              <w:t>е менее 170 г/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Default="00656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Средство для мытья стекол</w:t>
            </w:r>
          </w:p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Pr="00F63272" w:rsidRDefault="00656F1D" w:rsidP="00F632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Состав: изопропиловый спирт, эфиры этиленгликоля, ПАВ, аммиак водный, </w:t>
            </w:r>
            <w:proofErr w:type="spellStart"/>
            <w:r>
              <w:rPr>
                <w:lang w:eastAsia="en-US"/>
              </w:rPr>
              <w:t>пропиленгликоль</w:t>
            </w:r>
            <w:proofErr w:type="spellEnd"/>
            <w:r>
              <w:rPr>
                <w:lang w:eastAsia="en-US"/>
              </w:rPr>
              <w:t>, отдушка, краситель.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Форма выпуска: флакон из пластика не менее 500 мл. С распылителем рычажного типа.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шт.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B767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Не соответств</w:t>
            </w:r>
            <w:r w:rsidR="00656F1D">
              <w:rPr>
                <w:lang w:eastAsia="en-US"/>
              </w:rPr>
              <w:t>ует</w:t>
            </w:r>
          </w:p>
          <w:p w:rsidR="00656F1D" w:rsidRDefault="00656F1D" w:rsidP="006605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B76710" w:rsidRPr="00E93B5B">
              <w:rPr>
                <w:b/>
                <w:lang w:eastAsia="en-US"/>
              </w:rPr>
              <w:t xml:space="preserve"> в составе отсутствует </w:t>
            </w:r>
            <w:proofErr w:type="spellStart"/>
            <w:r w:rsidR="00B76710" w:rsidRPr="00E93B5B">
              <w:rPr>
                <w:b/>
                <w:lang w:eastAsia="en-US"/>
              </w:rPr>
              <w:t>пропиленгликоль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Default="00656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lang w:eastAsia="en-US"/>
              </w:rPr>
              <w:t>Средство</w:t>
            </w:r>
            <w:proofErr w:type="gramEnd"/>
            <w:r>
              <w:rPr>
                <w:lang w:eastAsia="en-US"/>
              </w:rPr>
              <w:t xml:space="preserve"> чистящее для сантехники</w:t>
            </w:r>
          </w:p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Предназначение геля — это удаление разнообразных загрязнений из унитазов, ванн, кафеля, раковин, фаянсовых изделий. Состав: неионогенный ПАВ, сульфаминовая кислота, анионный ПАВ, щавелевая кислота, </w:t>
            </w:r>
            <w:proofErr w:type="spellStart"/>
            <w:r>
              <w:rPr>
                <w:lang w:eastAsia="en-US"/>
              </w:rPr>
              <w:t>ароматизатор</w:t>
            </w:r>
            <w:proofErr w:type="spellEnd"/>
            <w:r>
              <w:rPr>
                <w:lang w:eastAsia="en-US"/>
              </w:rPr>
              <w:t>, краситель. Форма выпуска: флакон не менее 1000мл.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Порошок чистящий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D" w:rsidRPr="00F63272" w:rsidRDefault="00656F1D" w:rsidP="00F632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lang w:eastAsia="en-US"/>
              </w:rPr>
              <w:t>Порошок</w:t>
            </w:r>
            <w:proofErr w:type="gramEnd"/>
            <w:r>
              <w:rPr>
                <w:lang w:eastAsia="en-US"/>
              </w:rPr>
              <w:t xml:space="preserve"> чистящий универсальный, масса не менее 475г. </w:t>
            </w:r>
            <w:proofErr w:type="gramStart"/>
            <w:r>
              <w:rPr>
                <w:lang w:eastAsia="en-US"/>
              </w:rPr>
              <w:t>Пригоден</w:t>
            </w:r>
            <w:proofErr w:type="gramEnd"/>
            <w:r>
              <w:rPr>
                <w:lang w:eastAsia="en-US"/>
              </w:rPr>
              <w:t xml:space="preserve"> для плит, ванн, раковин, унитазов,</w:t>
            </w:r>
            <w:r>
              <w:rPr>
                <w:lang w:eastAsia="en-US"/>
              </w:rPr>
              <w:br/>
              <w:t>кафеля, мытья полов.</w:t>
            </w:r>
            <w:r>
              <w:rPr>
                <w:lang w:eastAsia="en-US"/>
              </w:rPr>
              <w:br/>
              <w:t xml:space="preserve">Состав: анионные ПАВ, отбеливающие вещества на основе хлора, </w:t>
            </w:r>
            <w:proofErr w:type="spellStart"/>
            <w:r>
              <w:rPr>
                <w:lang w:eastAsia="en-US"/>
              </w:rPr>
              <w:t>дезинфецирующие</w:t>
            </w:r>
            <w:proofErr w:type="spellEnd"/>
            <w:r>
              <w:rPr>
                <w:lang w:eastAsia="en-US"/>
              </w:rPr>
              <w:t xml:space="preserve"> вещества, ароматизирующие добавки, </w:t>
            </w:r>
            <w:proofErr w:type="spellStart"/>
            <w:r>
              <w:rPr>
                <w:lang w:eastAsia="en-US"/>
              </w:rPr>
              <w:t>цитраль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Pr="007666F5" w:rsidRDefault="00B7671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666F5">
              <w:rPr>
                <w:b/>
                <w:lang w:eastAsia="en-US"/>
              </w:rPr>
              <w:t>Не с</w:t>
            </w:r>
            <w:r w:rsidR="00656F1D" w:rsidRPr="007666F5">
              <w:rPr>
                <w:b/>
                <w:lang w:eastAsia="en-US"/>
              </w:rPr>
              <w:t>оответствует</w:t>
            </w:r>
            <w:r w:rsidR="00E93B5B">
              <w:rPr>
                <w:b/>
                <w:lang w:eastAsia="en-US"/>
              </w:rPr>
              <w:t xml:space="preserve"> (</w:t>
            </w:r>
            <w:r w:rsidRPr="007666F5">
              <w:rPr>
                <w:b/>
                <w:lang w:eastAsia="en-US"/>
              </w:rPr>
              <w:t xml:space="preserve">в составе отсутствует </w:t>
            </w:r>
            <w:proofErr w:type="spellStart"/>
            <w:r w:rsidRPr="007666F5">
              <w:rPr>
                <w:b/>
                <w:lang w:eastAsia="en-US"/>
              </w:rPr>
              <w:t>цитраль</w:t>
            </w:r>
            <w:proofErr w:type="spellEnd"/>
            <w:r w:rsidRPr="007666F5">
              <w:rPr>
                <w:b/>
                <w:lang w:eastAsia="en-US"/>
              </w:rPr>
              <w:t>)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Порошок чистящий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Порошок чистящий, масса не менее 480г.</w:t>
            </w:r>
            <w:r>
              <w:rPr>
                <w:rFonts w:ascii="Arial" w:hAnsi="Arial" w:cs="Arial"/>
                <w:color w:val="2E2F30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Пригоден для удаления загрязнений с поверхностей: кафеля, керамики, металла, линолеума  Состав: анионные АПАВ, отдушка, природный молотый мрамор, сода, сульфат натрия, краситель.</w:t>
            </w:r>
            <w:proofErr w:type="gram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Моющая жидкость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Моющая жидкость для полов и стен. Объем: не менее 750мл. Состав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анионные ПАВ, </w:t>
            </w:r>
            <w:proofErr w:type="spellStart"/>
            <w:r>
              <w:rPr>
                <w:lang w:eastAsia="en-US"/>
              </w:rPr>
              <w:t>неиногенные</w:t>
            </w:r>
            <w:proofErr w:type="spellEnd"/>
            <w:r>
              <w:rPr>
                <w:lang w:eastAsia="en-US"/>
              </w:rPr>
              <w:t xml:space="preserve"> ПАВ, консерванты, </w:t>
            </w:r>
            <w:proofErr w:type="spellStart"/>
            <w:r>
              <w:rPr>
                <w:lang w:eastAsia="en-US"/>
              </w:rPr>
              <w:t>ароматизирущие</w:t>
            </w:r>
            <w:proofErr w:type="spellEnd"/>
            <w:r>
              <w:rPr>
                <w:lang w:eastAsia="en-US"/>
              </w:rPr>
              <w:t xml:space="preserve"> добавки, </w:t>
            </w:r>
            <w:proofErr w:type="spellStart"/>
            <w:r>
              <w:rPr>
                <w:lang w:eastAsia="en-US"/>
              </w:rPr>
              <w:t>гексилкоричный</w:t>
            </w:r>
            <w:proofErr w:type="spellEnd"/>
            <w:r>
              <w:rPr>
                <w:lang w:eastAsia="en-US"/>
              </w:rPr>
              <w:t xml:space="preserve"> альдегид, </w:t>
            </w:r>
            <w:proofErr w:type="spellStart"/>
            <w:r>
              <w:rPr>
                <w:lang w:eastAsia="en-US"/>
              </w:rPr>
              <w:t>лимонен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линалоол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Не соответствует</w:t>
            </w:r>
          </w:p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b/>
                <w:lang w:eastAsia="en-US"/>
              </w:rPr>
              <w:t xml:space="preserve">Отсутствует конкретный показатель </w:t>
            </w:r>
            <w:r w:rsidR="00B76710">
              <w:rPr>
                <w:b/>
                <w:lang w:eastAsia="en-US"/>
              </w:rPr>
              <w:t>объема: присутствуют слова «</w:t>
            </w:r>
            <w:r>
              <w:rPr>
                <w:b/>
                <w:lang w:eastAsia="en-US"/>
              </w:rPr>
              <w:t>не менее</w:t>
            </w:r>
            <w:r w:rsidR="00B76710" w:rsidRPr="00E93B5B">
              <w:rPr>
                <w:b/>
                <w:lang w:eastAsia="en-US"/>
              </w:rPr>
              <w:t>»</w:t>
            </w:r>
            <w:r w:rsidR="007666F5" w:rsidRPr="00E93B5B">
              <w:rPr>
                <w:b/>
                <w:lang w:eastAsia="en-US"/>
              </w:rPr>
              <w:t xml:space="preserve">, в составе отсутствуют неионогенные </w:t>
            </w:r>
            <w:r w:rsidR="007666F5" w:rsidRPr="00E93B5B">
              <w:rPr>
                <w:b/>
                <w:lang w:eastAsia="en-US"/>
              </w:rPr>
              <w:lastRenderedPageBreak/>
              <w:t xml:space="preserve">ПАВ, </w:t>
            </w:r>
            <w:proofErr w:type="spellStart"/>
            <w:r w:rsidR="007666F5" w:rsidRPr="00E93B5B">
              <w:rPr>
                <w:b/>
                <w:lang w:eastAsia="en-US"/>
              </w:rPr>
              <w:t>гексилкоричный</w:t>
            </w:r>
            <w:proofErr w:type="spellEnd"/>
            <w:r w:rsidR="007666F5" w:rsidRPr="00E93B5B">
              <w:rPr>
                <w:b/>
                <w:lang w:eastAsia="en-US"/>
              </w:rPr>
              <w:t xml:space="preserve"> альдегид, </w:t>
            </w:r>
            <w:proofErr w:type="spellStart"/>
            <w:r w:rsidR="007666F5" w:rsidRPr="00E93B5B">
              <w:rPr>
                <w:b/>
                <w:lang w:eastAsia="en-US"/>
              </w:rPr>
              <w:t>лимонен</w:t>
            </w:r>
            <w:proofErr w:type="spellEnd"/>
            <w:r w:rsidR="007666F5" w:rsidRPr="00E93B5B">
              <w:rPr>
                <w:b/>
                <w:lang w:eastAsia="en-US"/>
              </w:rPr>
              <w:t xml:space="preserve">, </w:t>
            </w:r>
            <w:proofErr w:type="spellStart"/>
            <w:r w:rsidR="007666F5" w:rsidRPr="00E93B5B">
              <w:rPr>
                <w:b/>
                <w:lang w:eastAsia="en-US"/>
              </w:rPr>
              <w:t>линалоол</w:t>
            </w:r>
            <w:proofErr w:type="spellEnd"/>
            <w:r w:rsidRPr="00E93B5B">
              <w:rPr>
                <w:b/>
                <w:lang w:eastAsia="en-US"/>
              </w:rPr>
              <w:t>)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Моющее средство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Стиральный порошок для ручной стирки.</w:t>
            </w:r>
          </w:p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Масса: не менее 350г. Состав: сульфат натрия, </w:t>
            </w:r>
            <w:proofErr w:type="spellStart"/>
            <w:r>
              <w:rPr>
                <w:lang w:eastAsia="en-US"/>
              </w:rPr>
              <w:t>поверхносто</w:t>
            </w:r>
            <w:proofErr w:type="spellEnd"/>
            <w:r>
              <w:rPr>
                <w:lang w:eastAsia="en-US"/>
              </w:rPr>
              <w:t xml:space="preserve">-активные вещества, сода кальцинированная, </w:t>
            </w:r>
            <w:proofErr w:type="spellStart"/>
            <w:r>
              <w:rPr>
                <w:lang w:eastAsia="en-US"/>
              </w:rPr>
              <w:t>триполифосфат</w:t>
            </w:r>
            <w:proofErr w:type="spellEnd"/>
            <w:r>
              <w:rPr>
                <w:lang w:eastAsia="en-US"/>
              </w:rPr>
              <w:t>, отдушка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7666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Соответствует.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Таблетки хлорные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Таблетки  хлорные концентрированные быстрорастворимые, дезинфицирующие для сантехники. В упаковке не менее 300 шт.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Упак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Стакан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Объем: не менее 200мл</w:t>
            </w:r>
            <w:proofErr w:type="gramStart"/>
            <w:r>
              <w:rPr>
                <w:lang w:eastAsia="en-US"/>
              </w:rPr>
              <w:t>..</w:t>
            </w:r>
            <w:proofErr w:type="gramEnd"/>
            <w:r>
              <w:rPr>
                <w:lang w:eastAsia="en-US"/>
              </w:rPr>
              <w:t>и не более 250мл. Материал: полипропилен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56F1D" w:rsidTr="00656F1D">
        <w:trPr>
          <w:trHeight w:val="20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Мыло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Мыло туалетное в индивидуальной упаковке. Масса не менее 90г.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56F1D" w:rsidTr="00656F1D">
        <w:trPr>
          <w:trHeight w:val="20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Вторая часть заявки на участие в электронном аукционе должна содержать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Обязательные требования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 xml:space="preserve">Индивидуальный </w:t>
            </w:r>
            <w:proofErr w:type="spellStart"/>
            <w:r>
              <w:rPr>
                <w:b/>
                <w:lang w:eastAsia="en-US"/>
              </w:rPr>
              <w:t>предриниматель</w:t>
            </w:r>
            <w:proofErr w:type="spellEnd"/>
            <w:r>
              <w:rPr>
                <w:b/>
                <w:lang w:eastAsia="en-US"/>
              </w:rPr>
              <w:t xml:space="preserve"> Нестеров Максим Иванович (г. Челябинск)</w:t>
            </w:r>
          </w:p>
        </w:tc>
      </w:tr>
      <w:tr w:rsidR="00656F1D" w:rsidTr="00656F1D">
        <w:trPr>
          <w:trHeight w:val="20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 w:rsidP="00EF2AA4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left="0" w:firstLine="23"/>
              <w:jc w:val="both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Непроведение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56F1D" w:rsidTr="00656F1D">
        <w:trPr>
          <w:trHeight w:val="20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56F1D" w:rsidTr="00656F1D">
        <w:trPr>
          <w:trHeight w:val="20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</w:t>
            </w:r>
            <w:r>
              <w:rPr>
                <w:sz w:val="18"/>
                <w:szCs w:val="18"/>
                <w:lang w:eastAsia="en-US"/>
              </w:rPr>
              <w:lastRenderedPageBreak/>
              <w:t>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56F1D" w:rsidTr="00656F1D">
        <w:trPr>
          <w:trHeight w:val="20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656F1D" w:rsidRDefault="00656F1D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56F1D" w:rsidTr="00656F1D">
        <w:trPr>
          <w:trHeight w:val="20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56F1D" w:rsidTr="00656F1D">
        <w:trPr>
          <w:trHeight w:val="20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656F1D" w:rsidTr="00656F1D">
        <w:trPr>
          <w:trHeight w:val="20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7. </w:t>
            </w:r>
            <w:r>
              <w:rPr>
                <w:color w:val="000000"/>
                <w:kern w:val="2"/>
                <w:sz w:val="18"/>
                <w:szCs w:val="18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656F1D" w:rsidTr="00656F1D">
        <w:trPr>
          <w:trHeight w:val="20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1D" w:rsidRDefault="00656F1D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656F1D" w:rsidTr="00656F1D">
        <w:trPr>
          <w:trHeight w:val="203"/>
        </w:trPr>
        <w:tc>
          <w:tcPr>
            <w:tcW w:w="16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D" w:rsidRDefault="00656F1D">
            <w:pPr>
              <w:widowControl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 Начальная (максимальная)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eastAsia="en-US"/>
              </w:rPr>
              <w:t>14 988.94</w:t>
            </w:r>
            <w:r>
              <w:rPr>
                <w:rFonts w:ascii="Verdana" w:hAnsi="Verdana" w:cs="Helvetica"/>
                <w:color w:val="000000"/>
                <w:sz w:val="17"/>
                <w:szCs w:val="17"/>
                <w:lang w:eastAsia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en-US"/>
              </w:rPr>
              <w:t>рублей.</w:t>
            </w:r>
          </w:p>
        </w:tc>
      </w:tr>
    </w:tbl>
    <w:p w:rsidR="00F63272" w:rsidRDefault="00F63272" w:rsidP="00F83529">
      <w:bookmarkStart w:id="0" w:name="_GoBack"/>
      <w:bookmarkEnd w:id="0"/>
    </w:p>
    <w:sectPr w:rsidR="00F63272" w:rsidSect="00656F1D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4DD"/>
    <w:multiLevelType w:val="hybridMultilevel"/>
    <w:tmpl w:val="2130B0E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32"/>
    <w:rsid w:val="000D4532"/>
    <w:rsid w:val="000F24B5"/>
    <w:rsid w:val="0044233A"/>
    <w:rsid w:val="005C76FA"/>
    <w:rsid w:val="00656F1D"/>
    <w:rsid w:val="00660572"/>
    <w:rsid w:val="007666F5"/>
    <w:rsid w:val="00823F29"/>
    <w:rsid w:val="00B76710"/>
    <w:rsid w:val="00BB75D2"/>
    <w:rsid w:val="00C5003B"/>
    <w:rsid w:val="00CD1968"/>
    <w:rsid w:val="00E93B5B"/>
    <w:rsid w:val="00F01658"/>
    <w:rsid w:val="00F63272"/>
    <w:rsid w:val="00F8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24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24B5"/>
    <w:pPr>
      <w:widowControl w:val="0"/>
      <w:suppressAutoHyphens w:val="0"/>
      <w:ind w:left="720"/>
      <w:contextualSpacing/>
    </w:pPr>
    <w:rPr>
      <w:sz w:val="20"/>
      <w:szCs w:val="20"/>
      <w:lang w:eastAsia="ru-RU"/>
    </w:rPr>
  </w:style>
  <w:style w:type="table" w:styleId="a5">
    <w:name w:val="Table Grid"/>
    <w:basedOn w:val="a1"/>
    <w:uiPriority w:val="59"/>
    <w:rsid w:val="00F63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76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6F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24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24B5"/>
    <w:pPr>
      <w:widowControl w:val="0"/>
      <w:suppressAutoHyphens w:val="0"/>
      <w:ind w:left="720"/>
      <w:contextualSpacing/>
    </w:pPr>
    <w:rPr>
      <w:sz w:val="20"/>
      <w:szCs w:val="20"/>
      <w:lang w:eastAsia="ru-RU"/>
    </w:rPr>
  </w:style>
  <w:style w:type="table" w:styleId="a5">
    <w:name w:val="Table Grid"/>
    <w:basedOn w:val="a1"/>
    <w:uiPriority w:val="59"/>
    <w:rsid w:val="00F63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76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6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2017-06-26T12:04:00Z</cp:lastPrinted>
  <dcterms:created xsi:type="dcterms:W3CDTF">2017-06-26T07:35:00Z</dcterms:created>
  <dcterms:modified xsi:type="dcterms:W3CDTF">2017-06-26T12:04:00Z</dcterms:modified>
</cp:coreProperties>
</file>