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185D9C" w:rsidRPr="00185D9C">
        <w:rPr>
          <w:color w:val="000000" w:themeColor="text1"/>
        </w:rPr>
        <w:t>173862201905886220100100060060000244</w:t>
      </w:r>
      <w:r w:rsidRPr="00613453">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w:t>
      </w:r>
      <w:r w:rsidR="00185D9C" w:rsidRPr="00B82747">
        <w:rPr>
          <w:rFonts w:cs="Arial"/>
          <w:sz w:val="22"/>
          <w:szCs w:val="22"/>
        </w:rPr>
        <w:t xml:space="preserve">аукцион в электронной форме </w:t>
      </w:r>
      <w:r w:rsidR="00185D9C">
        <w:t>на право заключения муниципального контракта на поставку автомобильного бензина</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678"/>
        <w:gridCol w:w="709"/>
        <w:gridCol w:w="1701"/>
        <w:gridCol w:w="709"/>
        <w:gridCol w:w="1275"/>
      </w:tblGrid>
      <w:tr w:rsidR="00185D9C" w:rsidRPr="00913FCC" w:rsidTr="00185D9C">
        <w:tc>
          <w:tcPr>
            <w:tcW w:w="9215" w:type="dxa"/>
            <w:gridSpan w:val="5"/>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Предмет муниципального контракта</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Начальная (максимальная) цена контракта,</w:t>
            </w:r>
          </w:p>
          <w:p w:rsidR="00185D9C" w:rsidRPr="00913FCC" w:rsidRDefault="00185D9C" w:rsidP="00C42C5D">
            <w:pPr>
              <w:autoSpaceDE w:val="0"/>
              <w:autoSpaceDN w:val="0"/>
              <w:adjustRightInd w:val="0"/>
              <w:jc w:val="center"/>
              <w:rPr>
                <w:sz w:val="22"/>
                <w:szCs w:val="22"/>
              </w:rPr>
            </w:pPr>
            <w:r w:rsidRPr="00913FCC">
              <w:rPr>
                <w:sz w:val="22"/>
                <w:szCs w:val="22"/>
              </w:rPr>
              <w:t>руб.</w:t>
            </w:r>
          </w:p>
        </w:tc>
      </w:tr>
      <w:tr w:rsidR="00185D9C" w:rsidRPr="00913FCC" w:rsidTr="00185D9C">
        <w:tc>
          <w:tcPr>
            <w:tcW w:w="1418" w:type="dxa"/>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Код</w:t>
            </w:r>
          </w:p>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ОКПД</w:t>
            </w:r>
            <w:r>
              <w:rPr>
                <w:sz w:val="22"/>
                <w:szCs w:val="22"/>
              </w:rPr>
              <w:t xml:space="preserve"> 2</w:t>
            </w:r>
          </w:p>
        </w:tc>
        <w:tc>
          <w:tcPr>
            <w:tcW w:w="4678" w:type="dxa"/>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Ед.</w:t>
            </w:r>
          </w:p>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Изм.</w:t>
            </w:r>
          </w:p>
        </w:tc>
        <w:tc>
          <w:tcPr>
            <w:tcW w:w="1701" w:type="dxa"/>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Количество поставляемых товаров, объем выполняемых работ, оказываемых услуг</w:t>
            </w:r>
          </w:p>
        </w:tc>
        <w:tc>
          <w:tcPr>
            <w:tcW w:w="709" w:type="dxa"/>
            <w:tcBorders>
              <w:top w:val="single" w:sz="4" w:space="0" w:color="auto"/>
              <w:left w:val="single" w:sz="4" w:space="0" w:color="auto"/>
              <w:bottom w:val="single" w:sz="4" w:space="0" w:color="auto"/>
              <w:right w:val="single" w:sz="4" w:space="0" w:color="auto"/>
            </w:tcBorders>
          </w:tcPr>
          <w:p w:rsidR="00185D9C" w:rsidRDefault="00185D9C" w:rsidP="00185D9C">
            <w:pPr>
              <w:ind w:right="-108"/>
              <w:rPr>
                <w:sz w:val="22"/>
                <w:szCs w:val="22"/>
              </w:rPr>
            </w:pPr>
            <w:r>
              <w:rPr>
                <w:sz w:val="22"/>
                <w:szCs w:val="22"/>
              </w:rPr>
              <w:t xml:space="preserve">Цена,  </w:t>
            </w:r>
          </w:p>
          <w:p w:rsidR="00185D9C" w:rsidRPr="00913FCC" w:rsidRDefault="00185D9C" w:rsidP="00C42C5D">
            <w:pPr>
              <w:rPr>
                <w:sz w:val="22"/>
                <w:szCs w:val="22"/>
              </w:rPr>
            </w:pPr>
            <w:r>
              <w:rPr>
                <w:sz w:val="22"/>
                <w:szCs w:val="22"/>
              </w:rPr>
              <w:t>руб.</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85D9C" w:rsidRPr="00913FCC" w:rsidRDefault="00185D9C" w:rsidP="00C42C5D">
            <w:pPr>
              <w:rPr>
                <w:sz w:val="22"/>
                <w:szCs w:val="22"/>
              </w:rPr>
            </w:pPr>
          </w:p>
        </w:tc>
      </w:tr>
      <w:tr w:rsidR="00185D9C" w:rsidRPr="00913FCC" w:rsidTr="00185D9C">
        <w:trPr>
          <w:trHeight w:val="1785"/>
        </w:trPr>
        <w:tc>
          <w:tcPr>
            <w:tcW w:w="1418" w:type="dxa"/>
            <w:tcBorders>
              <w:top w:val="single" w:sz="4" w:space="0" w:color="auto"/>
              <w:left w:val="single" w:sz="4" w:space="0" w:color="auto"/>
              <w:bottom w:val="single" w:sz="4" w:space="0" w:color="auto"/>
              <w:right w:val="single" w:sz="4" w:space="0" w:color="auto"/>
            </w:tcBorders>
            <w:vAlign w:val="center"/>
          </w:tcPr>
          <w:p w:rsidR="00185D9C" w:rsidRPr="00731ED2" w:rsidRDefault="00185D9C" w:rsidP="00C42C5D">
            <w:pPr>
              <w:autoSpaceDE w:val="0"/>
              <w:autoSpaceDN w:val="0"/>
              <w:adjustRightInd w:val="0"/>
              <w:jc w:val="center"/>
              <w:rPr>
                <w:sz w:val="22"/>
                <w:szCs w:val="22"/>
                <w:highlight w:val="yellow"/>
              </w:rPr>
            </w:pPr>
            <w:r w:rsidRPr="00812CF3">
              <w:rPr>
                <w:sz w:val="22"/>
                <w:szCs w:val="22"/>
              </w:rPr>
              <w:t>19.20.21.120</w:t>
            </w:r>
          </w:p>
          <w:p w:rsidR="00185D9C" w:rsidRPr="00731ED2" w:rsidRDefault="00185D9C" w:rsidP="00C42C5D">
            <w:pPr>
              <w:autoSpaceDE w:val="0"/>
              <w:autoSpaceDN w:val="0"/>
              <w:adjustRightInd w:val="0"/>
              <w:jc w:val="center"/>
              <w:rPr>
                <w:sz w:val="22"/>
                <w:szCs w:val="22"/>
                <w:highlight w:val="yellow"/>
              </w:rPr>
            </w:pPr>
          </w:p>
        </w:tc>
        <w:tc>
          <w:tcPr>
            <w:tcW w:w="4678" w:type="dxa"/>
            <w:tcBorders>
              <w:top w:val="single" w:sz="4" w:space="0" w:color="auto"/>
              <w:left w:val="single" w:sz="4" w:space="0" w:color="auto"/>
              <w:bottom w:val="single" w:sz="4" w:space="0" w:color="auto"/>
              <w:right w:val="single" w:sz="4" w:space="0" w:color="auto"/>
            </w:tcBorders>
            <w:vAlign w:val="center"/>
          </w:tcPr>
          <w:p w:rsidR="00185D9C" w:rsidRPr="00913FCC" w:rsidRDefault="00185D9C" w:rsidP="00C42C5D">
            <w:pPr>
              <w:autoSpaceDE w:val="0"/>
              <w:autoSpaceDN w:val="0"/>
              <w:adjustRightInd w:val="0"/>
              <w:spacing w:line="0" w:lineRule="atLeast"/>
              <w:rPr>
                <w:sz w:val="22"/>
                <w:szCs w:val="22"/>
              </w:rPr>
            </w:pPr>
            <w:r w:rsidRPr="00913FCC">
              <w:rPr>
                <w:sz w:val="22"/>
                <w:szCs w:val="22"/>
              </w:rPr>
              <w:t xml:space="preserve">Поставка </w:t>
            </w:r>
            <w:proofErr w:type="gramStart"/>
            <w:r w:rsidRPr="00913FCC">
              <w:rPr>
                <w:sz w:val="22"/>
                <w:szCs w:val="22"/>
              </w:rPr>
              <w:t>автомобильного</w:t>
            </w:r>
            <w:proofErr w:type="gramEnd"/>
          </w:p>
          <w:p w:rsidR="00185D9C" w:rsidRDefault="00185D9C" w:rsidP="00C42C5D">
            <w:pPr>
              <w:autoSpaceDE w:val="0"/>
              <w:autoSpaceDN w:val="0"/>
              <w:adjustRightInd w:val="0"/>
              <w:rPr>
                <w:color w:val="000000"/>
                <w:spacing w:val="-2"/>
                <w:sz w:val="22"/>
                <w:szCs w:val="22"/>
              </w:rPr>
            </w:pPr>
            <w:r w:rsidRPr="00913FCC">
              <w:rPr>
                <w:sz w:val="22"/>
                <w:szCs w:val="22"/>
              </w:rPr>
              <w:t xml:space="preserve">бензина. </w:t>
            </w:r>
            <w:r>
              <w:rPr>
                <w:sz w:val="22"/>
                <w:szCs w:val="22"/>
              </w:rPr>
              <w:t>Топливо</w:t>
            </w:r>
            <w:r w:rsidRPr="00E130EC">
              <w:rPr>
                <w:sz w:val="22"/>
                <w:szCs w:val="22"/>
              </w:rPr>
              <w:t xml:space="preserve"> для двигателей внутреннего сгорания</w:t>
            </w:r>
            <w:r>
              <w:rPr>
                <w:sz w:val="22"/>
                <w:szCs w:val="22"/>
              </w:rPr>
              <w:t>,</w:t>
            </w:r>
            <w:r w:rsidRPr="00E130EC">
              <w:rPr>
                <w:sz w:val="22"/>
                <w:szCs w:val="22"/>
              </w:rPr>
              <w:t xml:space="preserve"> </w:t>
            </w:r>
            <w:r>
              <w:rPr>
                <w:sz w:val="22"/>
                <w:szCs w:val="22"/>
              </w:rPr>
              <w:t>н</w:t>
            </w:r>
            <w:r w:rsidRPr="00E130EC">
              <w:rPr>
                <w:sz w:val="22"/>
                <w:szCs w:val="22"/>
              </w:rPr>
              <w:t>еэтилированный бензин</w:t>
            </w:r>
            <w:r w:rsidRPr="00913FCC">
              <w:rPr>
                <w:color w:val="000000"/>
                <w:spacing w:val="-2"/>
                <w:sz w:val="22"/>
                <w:szCs w:val="22"/>
              </w:rPr>
              <w:t xml:space="preserve"> марки Регуляр-92 ГОСТ </w:t>
            </w:r>
            <w:proofErr w:type="gramStart"/>
            <w:r w:rsidRPr="00913FCC">
              <w:rPr>
                <w:color w:val="000000"/>
                <w:spacing w:val="-2"/>
                <w:sz w:val="22"/>
                <w:szCs w:val="22"/>
              </w:rPr>
              <w:t>Р</w:t>
            </w:r>
            <w:proofErr w:type="gramEnd"/>
            <w:r>
              <w:rPr>
                <w:color w:val="000000"/>
                <w:spacing w:val="-2"/>
                <w:sz w:val="22"/>
                <w:szCs w:val="22"/>
              </w:rPr>
              <w:t xml:space="preserve"> </w:t>
            </w:r>
            <w:r w:rsidRPr="00913FCC">
              <w:rPr>
                <w:color w:val="000000"/>
                <w:spacing w:val="-2"/>
                <w:sz w:val="22"/>
                <w:szCs w:val="22"/>
              </w:rPr>
              <w:t>51105-97</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Октановое  число:</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по исследовательскому  методу не менее 9</w:t>
            </w:r>
            <w:r>
              <w:rPr>
                <w:color w:val="000000"/>
                <w:spacing w:val="-2"/>
                <w:sz w:val="22"/>
                <w:szCs w:val="22"/>
              </w:rPr>
              <w:t>2;</w:t>
            </w:r>
          </w:p>
          <w:p w:rsidR="00185D9C" w:rsidRDefault="00185D9C" w:rsidP="00C42C5D">
            <w:pPr>
              <w:autoSpaceDE w:val="0"/>
              <w:autoSpaceDN w:val="0"/>
              <w:adjustRightInd w:val="0"/>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83.</w:t>
            </w:r>
          </w:p>
          <w:p w:rsidR="00185D9C" w:rsidRPr="004621A1" w:rsidRDefault="00185D9C" w:rsidP="00C42C5D">
            <w:pPr>
              <w:autoSpaceDE w:val="0"/>
              <w:autoSpaceDN w:val="0"/>
              <w:adjustRightInd w:val="0"/>
              <w:rPr>
                <w:sz w:val="22"/>
                <w:szCs w:val="22"/>
              </w:rPr>
            </w:pPr>
            <w:r w:rsidRPr="004621A1">
              <w:rPr>
                <w:sz w:val="22"/>
                <w:szCs w:val="22"/>
              </w:rPr>
              <w:t xml:space="preserve">Соответствие требованиям: </w:t>
            </w:r>
          </w:p>
          <w:p w:rsidR="00185D9C" w:rsidRPr="00913FCC" w:rsidRDefault="00185D9C" w:rsidP="00C42C5D">
            <w:pPr>
              <w:autoSpaceDE w:val="0"/>
              <w:autoSpaceDN w:val="0"/>
              <w:adjustRightInd w:val="0"/>
              <w:rPr>
                <w:sz w:val="22"/>
                <w:szCs w:val="2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w:t>
            </w:r>
            <w:r>
              <w:rPr>
                <w:sz w:val="22"/>
                <w:szCs w:val="22"/>
              </w:rPr>
              <w:t xml:space="preserve">и </w:t>
            </w:r>
            <w:r w:rsidRPr="004621A1">
              <w:rPr>
                <w:sz w:val="22"/>
                <w:szCs w:val="22"/>
              </w:rPr>
              <w:t xml:space="preserve">судовому топливу, топливу для реактивных двигателей и мазуту», утвержденного Решением </w:t>
            </w:r>
            <w:r>
              <w:rPr>
                <w:sz w:val="22"/>
                <w:szCs w:val="22"/>
              </w:rPr>
              <w:t xml:space="preserve">комиссии </w:t>
            </w:r>
            <w:r w:rsidRPr="004621A1">
              <w:rPr>
                <w:sz w:val="22"/>
                <w:szCs w:val="22"/>
              </w:rPr>
              <w:t>Таможенного союза от 18.10.2011г. № 826.</w:t>
            </w:r>
          </w:p>
        </w:tc>
        <w:tc>
          <w:tcPr>
            <w:tcW w:w="709" w:type="dxa"/>
            <w:tcBorders>
              <w:top w:val="single" w:sz="4" w:space="0" w:color="auto"/>
              <w:left w:val="single" w:sz="4" w:space="0" w:color="auto"/>
              <w:bottom w:val="single" w:sz="4" w:space="0" w:color="auto"/>
              <w:right w:val="single" w:sz="4" w:space="0" w:color="auto"/>
            </w:tcBorders>
            <w:vAlign w:val="center"/>
          </w:tcPr>
          <w:p w:rsidR="00185D9C" w:rsidRPr="00913FCC"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85D9C" w:rsidRPr="002F33CA" w:rsidRDefault="00185D9C" w:rsidP="00C42C5D">
            <w:pPr>
              <w:autoSpaceDE w:val="0"/>
              <w:autoSpaceDN w:val="0"/>
              <w:adjustRightInd w:val="0"/>
              <w:jc w:val="center"/>
              <w:rPr>
                <w:sz w:val="22"/>
                <w:szCs w:val="22"/>
              </w:rPr>
            </w:pPr>
            <w:r>
              <w:rPr>
                <w:spacing w:val="-2"/>
                <w:sz w:val="22"/>
                <w:szCs w:val="22"/>
              </w:rPr>
              <w:t>2 700</w:t>
            </w:r>
          </w:p>
        </w:tc>
        <w:tc>
          <w:tcPr>
            <w:tcW w:w="709" w:type="dxa"/>
            <w:tcBorders>
              <w:top w:val="single" w:sz="4" w:space="0" w:color="auto"/>
              <w:left w:val="single" w:sz="4" w:space="0" w:color="auto"/>
              <w:right w:val="single" w:sz="4" w:space="0" w:color="auto"/>
            </w:tcBorders>
            <w:vAlign w:val="center"/>
          </w:tcPr>
          <w:p w:rsidR="00185D9C" w:rsidRPr="00A234F0" w:rsidRDefault="00185D9C" w:rsidP="00C42C5D">
            <w:pPr>
              <w:autoSpaceDE w:val="0"/>
              <w:autoSpaceDN w:val="0"/>
              <w:adjustRightInd w:val="0"/>
              <w:jc w:val="center"/>
              <w:rPr>
                <w:b/>
                <w:sz w:val="22"/>
                <w:szCs w:val="22"/>
              </w:rPr>
            </w:pPr>
            <w:r w:rsidRPr="00A234F0">
              <w:rPr>
                <w:b/>
                <w:sz w:val="22"/>
                <w:szCs w:val="22"/>
              </w:rPr>
              <w:t>36,</w:t>
            </w:r>
            <w:r>
              <w:rPr>
                <w:b/>
                <w:sz w:val="22"/>
                <w:szCs w:val="22"/>
              </w:rPr>
              <w:t>5</w:t>
            </w:r>
            <w:r w:rsidRPr="00A234F0">
              <w:rPr>
                <w:b/>
                <w:sz w:val="22"/>
                <w:szCs w:val="22"/>
              </w:rPr>
              <w:t>0</w:t>
            </w:r>
          </w:p>
        </w:tc>
        <w:tc>
          <w:tcPr>
            <w:tcW w:w="1275" w:type="dxa"/>
            <w:tcBorders>
              <w:top w:val="single" w:sz="4" w:space="0" w:color="auto"/>
              <w:left w:val="single" w:sz="4" w:space="0" w:color="auto"/>
              <w:right w:val="single" w:sz="4" w:space="0" w:color="auto"/>
            </w:tcBorders>
            <w:vAlign w:val="center"/>
          </w:tcPr>
          <w:p w:rsidR="00185D9C" w:rsidRPr="00214284" w:rsidRDefault="00185D9C" w:rsidP="00C42C5D">
            <w:pPr>
              <w:autoSpaceDE w:val="0"/>
              <w:autoSpaceDN w:val="0"/>
              <w:adjustRightInd w:val="0"/>
              <w:jc w:val="center"/>
              <w:rPr>
                <w:sz w:val="22"/>
                <w:szCs w:val="22"/>
              </w:rPr>
            </w:pPr>
            <w:r>
              <w:rPr>
                <w:b/>
                <w:sz w:val="22"/>
                <w:szCs w:val="22"/>
              </w:rPr>
              <w:t>98 550</w:t>
            </w:r>
            <w:r w:rsidRPr="00214284">
              <w:rPr>
                <w:b/>
                <w:sz w:val="22"/>
                <w:szCs w:val="22"/>
              </w:rPr>
              <w:t>,00</w:t>
            </w:r>
          </w:p>
        </w:tc>
      </w:tr>
      <w:tr w:rsidR="00185D9C" w:rsidRPr="00913FCC" w:rsidTr="00185D9C">
        <w:trPr>
          <w:trHeight w:val="1266"/>
        </w:trPr>
        <w:tc>
          <w:tcPr>
            <w:tcW w:w="1418" w:type="dxa"/>
            <w:tcBorders>
              <w:top w:val="single" w:sz="4" w:space="0" w:color="auto"/>
              <w:left w:val="single" w:sz="4" w:space="0" w:color="auto"/>
              <w:bottom w:val="single" w:sz="4" w:space="0" w:color="auto"/>
              <w:right w:val="single" w:sz="4" w:space="0" w:color="auto"/>
            </w:tcBorders>
            <w:vAlign w:val="center"/>
          </w:tcPr>
          <w:p w:rsidR="00185D9C" w:rsidRPr="00731ED2" w:rsidRDefault="00185D9C" w:rsidP="00C42C5D">
            <w:pPr>
              <w:autoSpaceDE w:val="0"/>
              <w:autoSpaceDN w:val="0"/>
              <w:adjustRightInd w:val="0"/>
              <w:jc w:val="center"/>
              <w:rPr>
                <w:sz w:val="22"/>
                <w:szCs w:val="22"/>
                <w:highlight w:val="yellow"/>
              </w:rPr>
            </w:pPr>
            <w:r w:rsidRPr="00812CF3">
              <w:rPr>
                <w:sz w:val="22"/>
                <w:szCs w:val="22"/>
              </w:rPr>
              <w:t>19.20.21.1</w:t>
            </w:r>
            <w:r>
              <w:rPr>
                <w:sz w:val="22"/>
                <w:szCs w:val="22"/>
              </w:rPr>
              <w:t>0</w:t>
            </w:r>
            <w:r w:rsidRPr="00812CF3">
              <w:rPr>
                <w:sz w:val="22"/>
                <w:szCs w:val="22"/>
              </w:rPr>
              <w:t>0</w:t>
            </w:r>
          </w:p>
        </w:tc>
        <w:tc>
          <w:tcPr>
            <w:tcW w:w="4678" w:type="dxa"/>
            <w:tcBorders>
              <w:top w:val="single" w:sz="4" w:space="0" w:color="auto"/>
              <w:left w:val="single" w:sz="4" w:space="0" w:color="auto"/>
              <w:bottom w:val="single" w:sz="4" w:space="0" w:color="auto"/>
              <w:right w:val="single" w:sz="4" w:space="0" w:color="auto"/>
            </w:tcBorders>
            <w:vAlign w:val="center"/>
          </w:tcPr>
          <w:p w:rsidR="00185D9C" w:rsidRPr="00CB63D4" w:rsidRDefault="00185D9C" w:rsidP="00C42C5D">
            <w:pPr>
              <w:autoSpaceDE w:val="0"/>
              <w:autoSpaceDN w:val="0"/>
              <w:adjustRightInd w:val="0"/>
              <w:spacing w:line="0" w:lineRule="atLeast"/>
              <w:rPr>
                <w:sz w:val="22"/>
                <w:szCs w:val="22"/>
              </w:rPr>
            </w:pPr>
            <w:r w:rsidRPr="00CB63D4">
              <w:rPr>
                <w:sz w:val="22"/>
                <w:szCs w:val="22"/>
              </w:rPr>
              <w:t xml:space="preserve">Поставка </w:t>
            </w:r>
            <w:proofErr w:type="gramStart"/>
            <w:r w:rsidRPr="00CB63D4">
              <w:rPr>
                <w:sz w:val="22"/>
                <w:szCs w:val="22"/>
              </w:rPr>
              <w:t>автомобильного</w:t>
            </w:r>
            <w:proofErr w:type="gramEnd"/>
          </w:p>
          <w:p w:rsidR="00185D9C" w:rsidRDefault="00185D9C" w:rsidP="00C42C5D">
            <w:pPr>
              <w:autoSpaceDE w:val="0"/>
              <w:autoSpaceDN w:val="0"/>
              <w:adjustRightInd w:val="0"/>
              <w:spacing w:line="0" w:lineRule="atLeast"/>
              <w:rPr>
                <w:color w:val="000000"/>
                <w:spacing w:val="-2"/>
                <w:sz w:val="22"/>
                <w:szCs w:val="22"/>
              </w:rPr>
            </w:pPr>
            <w:r w:rsidRPr="00CB63D4">
              <w:rPr>
                <w:sz w:val="22"/>
                <w:szCs w:val="22"/>
              </w:rPr>
              <w:t xml:space="preserve">бензина. Топливо </w:t>
            </w:r>
            <w:r>
              <w:rPr>
                <w:sz w:val="22"/>
                <w:szCs w:val="22"/>
              </w:rPr>
              <w:t>моторное,</w:t>
            </w:r>
            <w:r w:rsidRPr="00CB63D4">
              <w:rPr>
                <w:sz w:val="22"/>
                <w:szCs w:val="22"/>
              </w:rPr>
              <w:t xml:space="preserve"> неэтилированный бензин марки </w:t>
            </w:r>
            <w:r w:rsidRPr="00CB63D4">
              <w:rPr>
                <w:color w:val="000000"/>
                <w:spacing w:val="-2"/>
                <w:sz w:val="22"/>
                <w:szCs w:val="22"/>
              </w:rPr>
              <w:t>Премиум Евро-95</w:t>
            </w:r>
            <w:r>
              <w:rPr>
                <w:color w:val="000000"/>
                <w:spacing w:val="-2"/>
                <w:sz w:val="22"/>
                <w:szCs w:val="22"/>
              </w:rPr>
              <w:t xml:space="preserve"> </w:t>
            </w:r>
            <w:r w:rsidRPr="00CB63D4">
              <w:rPr>
                <w:color w:val="000000"/>
                <w:spacing w:val="-2"/>
                <w:sz w:val="22"/>
                <w:szCs w:val="22"/>
              </w:rPr>
              <w:t xml:space="preserve">ГОСТ </w:t>
            </w:r>
            <w:proofErr w:type="gramStart"/>
            <w:r w:rsidRPr="00CB63D4">
              <w:rPr>
                <w:color w:val="000000"/>
                <w:spacing w:val="-2"/>
                <w:sz w:val="22"/>
                <w:szCs w:val="22"/>
              </w:rPr>
              <w:t>Р</w:t>
            </w:r>
            <w:proofErr w:type="gramEnd"/>
            <w:r w:rsidRPr="00CB63D4">
              <w:rPr>
                <w:color w:val="000000"/>
                <w:spacing w:val="-2"/>
                <w:sz w:val="22"/>
                <w:szCs w:val="22"/>
              </w:rPr>
              <w:t xml:space="preserve"> 51866-2002</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 xml:space="preserve">Октановое  число: </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lastRenderedPageBreak/>
              <w:t>по исследовательскому  методу не менее 95</w:t>
            </w:r>
            <w:r>
              <w:rPr>
                <w:color w:val="000000"/>
                <w:spacing w:val="-2"/>
                <w:sz w:val="22"/>
                <w:szCs w:val="22"/>
              </w:rPr>
              <w:t>;</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w:t>
            </w:r>
            <w:r w:rsidRPr="00CB63D4">
              <w:rPr>
                <w:color w:val="000000"/>
                <w:spacing w:val="-2"/>
                <w:sz w:val="22"/>
                <w:szCs w:val="22"/>
              </w:rPr>
              <w:t>5</w:t>
            </w:r>
            <w:r>
              <w:rPr>
                <w:color w:val="000000"/>
                <w:spacing w:val="-2"/>
                <w:sz w:val="22"/>
                <w:szCs w:val="22"/>
              </w:rPr>
              <w:t>.</w:t>
            </w:r>
          </w:p>
          <w:p w:rsidR="00185D9C" w:rsidRPr="004621A1" w:rsidRDefault="00185D9C" w:rsidP="00C42C5D">
            <w:pPr>
              <w:autoSpaceDE w:val="0"/>
              <w:autoSpaceDN w:val="0"/>
              <w:adjustRightInd w:val="0"/>
              <w:rPr>
                <w:sz w:val="22"/>
                <w:szCs w:val="22"/>
              </w:rPr>
            </w:pPr>
            <w:r w:rsidRPr="004621A1">
              <w:rPr>
                <w:sz w:val="22"/>
                <w:szCs w:val="22"/>
              </w:rPr>
              <w:t xml:space="preserve">Соответствие требованиям: </w:t>
            </w:r>
          </w:p>
          <w:p w:rsidR="00185D9C" w:rsidRPr="00CB63D4" w:rsidRDefault="00185D9C" w:rsidP="00C42C5D">
            <w:pPr>
              <w:autoSpaceDE w:val="0"/>
              <w:autoSpaceDN w:val="0"/>
              <w:adjustRightInd w:val="0"/>
              <w:spacing w:line="0" w:lineRule="atLeast"/>
              <w:rPr>
                <w:sz w:val="22"/>
                <w:szCs w:val="2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tc>
        <w:tc>
          <w:tcPr>
            <w:tcW w:w="709" w:type="dxa"/>
            <w:tcBorders>
              <w:top w:val="single" w:sz="4" w:space="0" w:color="auto"/>
              <w:left w:val="single" w:sz="4" w:space="0" w:color="auto"/>
              <w:bottom w:val="single" w:sz="4" w:space="0" w:color="auto"/>
              <w:right w:val="single" w:sz="4" w:space="0" w:color="auto"/>
            </w:tcBorders>
            <w:vAlign w:val="center"/>
          </w:tcPr>
          <w:p w:rsidR="00185D9C" w:rsidRPr="00CB63D4" w:rsidRDefault="00185D9C" w:rsidP="00C42C5D">
            <w:pPr>
              <w:autoSpaceDE w:val="0"/>
              <w:autoSpaceDN w:val="0"/>
              <w:adjustRightInd w:val="0"/>
              <w:jc w:val="center"/>
              <w:rPr>
                <w:sz w:val="22"/>
                <w:szCs w:val="22"/>
              </w:rPr>
            </w:pPr>
            <w:r w:rsidRPr="00913FCC">
              <w:rPr>
                <w:sz w:val="22"/>
                <w:szCs w:val="22"/>
              </w:rPr>
              <w:lastRenderedPageBreak/>
              <w:t>Л</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85D9C" w:rsidRPr="002F33CA" w:rsidRDefault="00185D9C" w:rsidP="00C42C5D">
            <w:pPr>
              <w:autoSpaceDE w:val="0"/>
              <w:autoSpaceDN w:val="0"/>
              <w:adjustRightInd w:val="0"/>
              <w:spacing w:line="0" w:lineRule="atLeast"/>
              <w:jc w:val="center"/>
              <w:rPr>
                <w:spacing w:val="-2"/>
                <w:sz w:val="22"/>
                <w:szCs w:val="22"/>
              </w:rPr>
            </w:pPr>
            <w:r>
              <w:rPr>
                <w:spacing w:val="-2"/>
                <w:sz w:val="22"/>
                <w:szCs w:val="22"/>
              </w:rPr>
              <w:t>11 500</w:t>
            </w:r>
          </w:p>
        </w:tc>
        <w:tc>
          <w:tcPr>
            <w:tcW w:w="709" w:type="dxa"/>
            <w:tcBorders>
              <w:left w:val="single" w:sz="4" w:space="0" w:color="auto"/>
              <w:right w:val="single" w:sz="4" w:space="0" w:color="auto"/>
            </w:tcBorders>
            <w:vAlign w:val="center"/>
          </w:tcPr>
          <w:p w:rsidR="00185D9C" w:rsidRPr="00214284" w:rsidRDefault="00185D9C" w:rsidP="00C42C5D">
            <w:pPr>
              <w:autoSpaceDE w:val="0"/>
              <w:autoSpaceDN w:val="0"/>
              <w:adjustRightInd w:val="0"/>
              <w:jc w:val="center"/>
              <w:rPr>
                <w:sz w:val="22"/>
                <w:szCs w:val="22"/>
              </w:rPr>
            </w:pPr>
            <w:r w:rsidRPr="00214284">
              <w:rPr>
                <w:b/>
                <w:sz w:val="22"/>
                <w:szCs w:val="22"/>
              </w:rPr>
              <w:t>3</w:t>
            </w:r>
            <w:r>
              <w:rPr>
                <w:b/>
                <w:sz w:val="22"/>
                <w:szCs w:val="22"/>
              </w:rPr>
              <w:t>8,5</w:t>
            </w:r>
            <w:r w:rsidRPr="00214284">
              <w:rPr>
                <w:b/>
                <w:sz w:val="22"/>
                <w:szCs w:val="22"/>
              </w:rPr>
              <w:t>0</w:t>
            </w:r>
          </w:p>
        </w:tc>
        <w:tc>
          <w:tcPr>
            <w:tcW w:w="1275" w:type="dxa"/>
            <w:tcBorders>
              <w:left w:val="single" w:sz="4" w:space="0" w:color="auto"/>
              <w:right w:val="single" w:sz="4" w:space="0" w:color="auto"/>
            </w:tcBorders>
            <w:vAlign w:val="center"/>
          </w:tcPr>
          <w:p w:rsidR="00185D9C" w:rsidRPr="00214284" w:rsidRDefault="00185D9C" w:rsidP="00C42C5D">
            <w:pPr>
              <w:autoSpaceDE w:val="0"/>
              <w:autoSpaceDN w:val="0"/>
              <w:adjustRightInd w:val="0"/>
              <w:jc w:val="center"/>
              <w:rPr>
                <w:sz w:val="22"/>
                <w:szCs w:val="22"/>
              </w:rPr>
            </w:pPr>
            <w:r>
              <w:rPr>
                <w:b/>
                <w:sz w:val="22"/>
                <w:szCs w:val="22"/>
              </w:rPr>
              <w:t>442 750</w:t>
            </w:r>
            <w:r w:rsidRPr="00214284">
              <w:rPr>
                <w:b/>
                <w:sz w:val="22"/>
                <w:szCs w:val="22"/>
              </w:rPr>
              <w:t>,00</w:t>
            </w:r>
          </w:p>
        </w:tc>
      </w:tr>
      <w:tr w:rsidR="00185D9C" w:rsidRPr="00913FCC" w:rsidTr="00185D9C">
        <w:trPr>
          <w:trHeight w:val="277"/>
        </w:trPr>
        <w:tc>
          <w:tcPr>
            <w:tcW w:w="9215" w:type="dxa"/>
            <w:gridSpan w:val="5"/>
            <w:tcBorders>
              <w:top w:val="single" w:sz="4" w:space="0" w:color="auto"/>
              <w:left w:val="single" w:sz="4" w:space="0" w:color="auto"/>
              <w:bottom w:val="single" w:sz="4" w:space="0" w:color="auto"/>
              <w:right w:val="single" w:sz="4" w:space="0" w:color="auto"/>
            </w:tcBorders>
            <w:vAlign w:val="center"/>
          </w:tcPr>
          <w:p w:rsidR="00185D9C" w:rsidRPr="00214284" w:rsidRDefault="00185D9C" w:rsidP="00C42C5D">
            <w:pPr>
              <w:autoSpaceDE w:val="0"/>
              <w:autoSpaceDN w:val="0"/>
              <w:adjustRightInd w:val="0"/>
              <w:jc w:val="right"/>
              <w:rPr>
                <w:b/>
                <w:sz w:val="22"/>
                <w:szCs w:val="22"/>
              </w:rPr>
            </w:pPr>
            <w:r w:rsidRPr="00214284">
              <w:rPr>
                <w:b/>
                <w:sz w:val="22"/>
                <w:szCs w:val="22"/>
              </w:rPr>
              <w:lastRenderedPageBreak/>
              <w:t>Итого:</w:t>
            </w:r>
          </w:p>
        </w:tc>
        <w:tc>
          <w:tcPr>
            <w:tcW w:w="1275" w:type="dxa"/>
            <w:tcBorders>
              <w:left w:val="single" w:sz="4" w:space="0" w:color="auto"/>
              <w:bottom w:val="single" w:sz="4" w:space="0" w:color="auto"/>
              <w:right w:val="single" w:sz="4" w:space="0" w:color="auto"/>
            </w:tcBorders>
            <w:vAlign w:val="center"/>
          </w:tcPr>
          <w:p w:rsidR="00185D9C" w:rsidRPr="00214284" w:rsidRDefault="00185D9C" w:rsidP="00C42C5D">
            <w:pPr>
              <w:autoSpaceDE w:val="0"/>
              <w:autoSpaceDN w:val="0"/>
              <w:adjustRightInd w:val="0"/>
              <w:jc w:val="center"/>
              <w:rPr>
                <w:b/>
                <w:sz w:val="22"/>
                <w:szCs w:val="22"/>
              </w:rPr>
            </w:pPr>
            <w:r>
              <w:rPr>
                <w:b/>
                <w:sz w:val="22"/>
                <w:szCs w:val="22"/>
              </w:rPr>
              <w:t>541 300</w:t>
            </w:r>
            <w:r w:rsidRPr="00214284">
              <w:rPr>
                <w:b/>
                <w:sz w:val="22"/>
                <w:szCs w:val="22"/>
              </w:rPr>
              <w:t>,00</w:t>
            </w:r>
          </w:p>
        </w:tc>
      </w:tr>
    </w:tbl>
    <w:p w:rsidR="009067F8" w:rsidRPr="00F356E7" w:rsidRDefault="006F1CBD" w:rsidP="00185D9C">
      <w:pPr>
        <w:autoSpaceDE w:val="0"/>
        <w:autoSpaceDN w:val="0"/>
        <w:adjustRightInd w:val="0"/>
        <w:jc w:val="both"/>
      </w:pPr>
      <w:r>
        <w:t xml:space="preserve">6. </w:t>
      </w:r>
      <w:r w:rsidR="00185D9C" w:rsidRPr="005357EA">
        <w:t>Место доставки товара: товар поставляется через заправочные станции Поставщика, расположенные в городе Югорске Ханты-Мансийского автономного округа-Югры.</w:t>
      </w:r>
    </w:p>
    <w:p w:rsidR="009067F8" w:rsidRPr="00F356E7" w:rsidRDefault="006F1CBD" w:rsidP="00185D9C">
      <w:pPr>
        <w:autoSpaceDE w:val="0"/>
        <w:autoSpaceDN w:val="0"/>
        <w:adjustRightInd w:val="0"/>
        <w:jc w:val="both"/>
      </w:pPr>
      <w:r>
        <w:t xml:space="preserve">7. </w:t>
      </w:r>
      <w:r w:rsidR="00185D9C" w:rsidRPr="005357EA">
        <w:t>Сроки поставки товар</w:t>
      </w:r>
      <w:r w:rsidR="00185D9C" w:rsidRPr="005357EA">
        <w:rPr>
          <w:bCs/>
        </w:rPr>
        <w:t>а</w:t>
      </w:r>
      <w:r w:rsidR="00185D9C" w:rsidRPr="005357EA">
        <w:t xml:space="preserve">: </w:t>
      </w:r>
      <w:r w:rsidR="00185D9C">
        <w:t xml:space="preserve">круглосуточно </w:t>
      </w:r>
      <w:proofErr w:type="gramStart"/>
      <w:r w:rsidR="00185D9C" w:rsidRPr="005357EA">
        <w:t>с даты заключения</w:t>
      </w:r>
      <w:proofErr w:type="gramEnd"/>
      <w:r w:rsidR="00185D9C" w:rsidRPr="005357EA">
        <w:t xml:space="preserve"> контракта</w:t>
      </w:r>
      <w:r w:rsidR="00185D9C">
        <w:t xml:space="preserve"> </w:t>
      </w:r>
      <w:r w:rsidR="00185D9C" w:rsidRPr="00DC27F3">
        <w:t xml:space="preserve">по </w:t>
      </w:r>
      <w:r w:rsidR="00185D9C">
        <w:t>3</w:t>
      </w:r>
      <w:r w:rsidR="000A58CE">
        <w:t>0</w:t>
      </w:r>
      <w:r w:rsidR="00185D9C" w:rsidRPr="00DC27F3">
        <w:t xml:space="preserve"> </w:t>
      </w:r>
      <w:r w:rsidR="005C7442">
        <w:t>июня</w:t>
      </w:r>
      <w:r w:rsidR="00185D9C" w:rsidRPr="00DC27F3">
        <w:t xml:space="preserve"> 201</w:t>
      </w:r>
      <w:r w:rsidR="00185D9C">
        <w:t>7</w:t>
      </w:r>
      <w:r w:rsidR="00185D9C" w:rsidRPr="00DC27F3">
        <w:t xml:space="preserve"> года</w:t>
      </w:r>
      <w:r w:rsidR="00185D9C">
        <w:t>.</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FA0BA1">
        <w:t>7</w:t>
      </w:r>
      <w:r w:rsidR="00613453" w:rsidRPr="00613453">
        <w:t xml:space="preserve"> год.</w:t>
      </w:r>
      <w:r w:rsidR="009067F8" w:rsidRPr="00F356E7">
        <w:t>.</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lastRenderedPageBreak/>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12. 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w:t>
      </w:r>
      <w:r w:rsidR="005C7442" w:rsidRPr="005C7442">
        <w:t xml:space="preserve"> </w:t>
      </w:r>
      <w:r w:rsidR="005C7442" w:rsidRPr="00B44AE8">
        <w:t>не предусмотрено.</w:t>
      </w:r>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096BAB">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E1C8F">
        <w:t>10</w:t>
      </w:r>
      <w:r w:rsidR="009067F8" w:rsidRPr="00F356E7">
        <w:t xml:space="preserve"> часов </w:t>
      </w:r>
      <w:r w:rsidR="00EE1C8F">
        <w:t>00</w:t>
      </w:r>
      <w:r w:rsidR="009067F8" w:rsidRPr="00F356E7">
        <w:t xml:space="preserve"> минут </w:t>
      </w:r>
      <w:r w:rsidR="00E25E6F">
        <w:t>«</w:t>
      </w:r>
      <w:r w:rsidR="00EE1C8F">
        <w:t>05</w:t>
      </w:r>
      <w:r w:rsidR="00E25E6F">
        <w:t>»</w:t>
      </w:r>
      <w:r w:rsidR="009067F8" w:rsidRPr="00F356E7">
        <w:t> </w:t>
      </w:r>
      <w:r w:rsidR="00EE1C8F" w:rsidRPr="00EE1C8F">
        <w:t xml:space="preserve">апреля </w:t>
      </w:r>
      <w:r w:rsidR="009067F8" w:rsidRPr="00F356E7">
        <w:t>201</w:t>
      </w:r>
      <w:r w:rsidR="00EE1C8F">
        <w:t>7</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lastRenderedPageBreak/>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EE1C8F">
        <w:t>06</w:t>
      </w:r>
      <w:r w:rsidR="00E25E6F">
        <w:t>»</w:t>
      </w:r>
      <w:r w:rsidR="009067F8" w:rsidRPr="00F356E7">
        <w:t> </w:t>
      </w:r>
      <w:r w:rsidR="00EE1C8F" w:rsidRPr="00EE1C8F">
        <w:t xml:space="preserve">апреля </w:t>
      </w:r>
      <w:r w:rsidR="009067F8" w:rsidRPr="00F356E7">
        <w:t>201</w:t>
      </w:r>
      <w:r w:rsidR="00EE1C8F">
        <w:t>7</w:t>
      </w:r>
      <w:r w:rsidR="009067F8" w:rsidRPr="00F356E7">
        <w:t>года.</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EE1C8F">
        <w:t>10</w:t>
      </w:r>
      <w:r w:rsidR="00E25E6F">
        <w:t>»</w:t>
      </w:r>
      <w:r w:rsidR="009067F8" w:rsidRPr="00F356E7">
        <w:t> </w:t>
      </w:r>
      <w:r w:rsidR="00EE1C8F" w:rsidRPr="00EE1C8F">
        <w:t xml:space="preserve">апреля </w:t>
      </w:r>
      <w:r w:rsidR="009067F8" w:rsidRPr="00F356E7">
        <w:t>201</w:t>
      </w:r>
      <w:r w:rsidR="00EE1C8F">
        <w:t>7</w:t>
      </w:r>
      <w:bookmarkStart w:id="0" w:name="_GoBack"/>
      <w:bookmarkEnd w:id="0"/>
      <w:r w:rsidR="009067F8" w:rsidRPr="00F356E7">
        <w:t xml:space="preserve"> года.</w:t>
      </w:r>
    </w:p>
    <w:p w:rsidR="009067F8" w:rsidRPr="00F356E7" w:rsidRDefault="00173CA9" w:rsidP="006F1CBD">
      <w:pPr>
        <w:autoSpaceDE w:val="0"/>
        <w:autoSpaceDN w:val="0"/>
        <w:adjustRightInd w:val="0"/>
        <w:jc w:val="both"/>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t xml:space="preserve">21. </w:t>
      </w:r>
      <w:r w:rsidR="009067F8" w:rsidRPr="00723807">
        <w:t xml:space="preserve">Размер обеспечения заявки на участие в закупке: </w:t>
      </w:r>
      <w:r w:rsidR="005C7442" w:rsidRPr="005C7442">
        <w:t>5 413 (пять тысяч четыреста тринадцать) рублей 00 копеек.</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5C7442" w:rsidRPr="005C7442">
        <w:t>27 065 (двадцать семь тысяч шестьдесят пять) рублей 00 копеек</w:t>
      </w:r>
      <w:r w:rsidR="0058304A" w:rsidRPr="0058304A">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w:t>
      </w:r>
      <w:r w:rsidR="00FC706A" w:rsidRPr="00FC706A">
        <w:rPr>
          <w:rFonts w:ascii="Times New Roman" w:hAnsi="Times New Roman" w:cs="Times New Roman"/>
          <w:b w:val="0"/>
          <w:bCs w:val="0"/>
          <w:sz w:val="24"/>
          <w:szCs w:val="24"/>
        </w:rPr>
        <w:t>на поставку автомобильного бензина</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i/>
          <w:color w:val="000000" w:themeColor="text1"/>
        </w:rPr>
      </w:pPr>
      <w:proofErr w:type="gramStart"/>
      <w:r w:rsidRPr="00D30132">
        <w:rPr>
          <w:color w:val="000000" w:themeColor="text1"/>
        </w:rPr>
        <w:t xml:space="preserve">- </w:t>
      </w:r>
      <w:r w:rsidR="00B2379C" w:rsidRPr="00D30132">
        <w:rPr>
          <w:color w:val="000000" w:themeColor="text1"/>
        </w:rPr>
        <w:t xml:space="preserve">В соответствии с Постановлением Правительства РФ от 29.12.2015 № 1457 </w:t>
      </w:r>
      <w:r w:rsidR="00E25E6F" w:rsidRPr="00D30132">
        <w:rPr>
          <w:color w:val="000000" w:themeColor="text1"/>
        </w:rPr>
        <w:t>«</w:t>
      </w:r>
      <w:r w:rsidR="00B2379C" w:rsidRPr="00D30132">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E25E6F" w:rsidRPr="00D30132">
        <w:rPr>
          <w:color w:val="000000" w:themeColor="text1"/>
        </w:rPr>
        <w:t>»</w:t>
      </w:r>
      <w:r w:rsidR="00B2379C" w:rsidRPr="00D30132">
        <w:rPr>
          <w:color w:val="000000" w:themeColor="text1"/>
        </w:rPr>
        <w:t xml:space="preserve">, принятого во исполнение подпункта </w:t>
      </w:r>
      <w:r w:rsidR="00E25E6F" w:rsidRPr="00D30132">
        <w:rPr>
          <w:color w:val="000000" w:themeColor="text1"/>
        </w:rPr>
        <w:t>«</w:t>
      </w:r>
      <w:r w:rsidR="00B2379C" w:rsidRPr="00D30132">
        <w:rPr>
          <w:color w:val="000000" w:themeColor="text1"/>
        </w:rPr>
        <w:t>б</w:t>
      </w:r>
      <w:r w:rsidR="00E25E6F" w:rsidRPr="00D30132">
        <w:rPr>
          <w:color w:val="000000" w:themeColor="text1"/>
        </w:rPr>
        <w:t>»</w:t>
      </w:r>
      <w:r w:rsidR="00B2379C" w:rsidRPr="00D30132">
        <w:rPr>
          <w:color w:val="000000" w:themeColor="text1"/>
        </w:rPr>
        <w:t xml:space="preserve"> пункта 1 Указа Президента РФ от 28.11.2015 № 583</w:t>
      </w:r>
      <w:r w:rsidR="00E25E6F" w:rsidRPr="00D30132">
        <w:rPr>
          <w:color w:val="000000" w:themeColor="text1"/>
        </w:rPr>
        <w:t>»</w:t>
      </w:r>
      <w:r w:rsidR="00B2379C" w:rsidRPr="00D30132">
        <w:rPr>
          <w:color w:val="000000" w:themeColor="text1"/>
        </w:rPr>
        <w:t>:</w:t>
      </w:r>
      <w:proofErr w:type="gramEnd"/>
      <w:r w:rsidR="00B2379C" w:rsidRPr="00D30132">
        <w:rPr>
          <w:color w:val="000000" w:themeColor="text1"/>
        </w:rPr>
        <w:t xml:space="preserve">   </w:t>
      </w:r>
      <w:r w:rsidR="00E205AE">
        <w:rPr>
          <w:color w:val="000000" w:themeColor="text1"/>
        </w:rPr>
        <w:t>Не у</w:t>
      </w:r>
      <w:r w:rsidR="00B2379C" w:rsidRPr="00D30132">
        <w:rPr>
          <w:color w:val="000000" w:themeColor="text1"/>
        </w:rPr>
        <w:t>становлено</w:t>
      </w:r>
      <w:r w:rsidR="00723807" w:rsidRPr="00D30132">
        <w:rPr>
          <w:b/>
          <w:i/>
          <w:color w:val="000000" w:themeColor="text1"/>
        </w:rPr>
        <w:t>;</w:t>
      </w:r>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lastRenderedPageBreak/>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6F1CBD">
      <w:pPr>
        <w:jc w:val="both"/>
        <w:rPr>
          <w:color w:val="000000" w:themeColor="text1"/>
        </w:rPr>
      </w:pPr>
      <w:r w:rsidRPr="00DA5E64">
        <w:rPr>
          <w:color w:val="000000" w:themeColor="text1"/>
        </w:rPr>
        <w:t>Согласовано:</w:t>
      </w:r>
    </w:p>
    <w:p w:rsidR="009067F8" w:rsidRPr="00DA5E64" w:rsidRDefault="009067F8" w:rsidP="006F1CBD">
      <w:pPr>
        <w:jc w:val="both"/>
        <w:rPr>
          <w:color w:val="000000" w:themeColor="text1"/>
          <w:u w:val="single"/>
        </w:rPr>
      </w:pPr>
    </w:p>
    <w:p w:rsidR="009067F8" w:rsidRPr="00DA5E64" w:rsidRDefault="009067F8" w:rsidP="006F1CBD">
      <w:pPr>
        <w:jc w:val="both"/>
        <w:rPr>
          <w:color w:val="000000" w:themeColor="text1"/>
        </w:rPr>
      </w:pPr>
    </w:p>
    <w:p w:rsidR="009067F8" w:rsidRPr="00DA5E64" w:rsidRDefault="009067F8" w:rsidP="006F1CBD">
      <w:pPr>
        <w:jc w:val="both"/>
        <w:rPr>
          <w:color w:val="000000" w:themeColor="text1"/>
        </w:rPr>
      </w:pPr>
      <w:r w:rsidRPr="00DA5E64">
        <w:rPr>
          <w:color w:val="000000" w:themeColor="text1"/>
        </w:rPr>
        <w:t>Заместитель начальника управления</w:t>
      </w:r>
    </w:p>
    <w:p w:rsidR="009067F8" w:rsidRPr="00DA5E64" w:rsidRDefault="009067F8" w:rsidP="009067F8">
      <w:pPr>
        <w:jc w:val="both"/>
        <w:rPr>
          <w:color w:val="000000" w:themeColor="text1"/>
        </w:rPr>
      </w:pPr>
      <w:r w:rsidRPr="00DA5E64">
        <w:rPr>
          <w:color w:val="000000" w:themeColor="text1"/>
        </w:rPr>
        <w:t>экономической политики</w:t>
      </w:r>
      <w:r w:rsidRPr="00DA5E64">
        <w:rPr>
          <w:color w:val="000000" w:themeColor="text1"/>
        </w:rPr>
        <w:tab/>
      </w:r>
      <w:r w:rsidRPr="00DA5E64">
        <w:rPr>
          <w:color w:val="000000" w:themeColor="text1"/>
        </w:rPr>
        <w:tab/>
        <w:t xml:space="preserve">                                  </w:t>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w:t>
      </w:r>
      <w:proofErr w:type="spellStart"/>
      <w:r w:rsidRPr="00DA5E64">
        <w:rPr>
          <w:color w:val="000000" w:themeColor="text1"/>
        </w:rPr>
        <w:t>Ж.В.Резинкина</w:t>
      </w:r>
      <w:proofErr w:type="spellEnd"/>
      <w:r w:rsidRPr="00DA5E64">
        <w:rPr>
          <w:color w:val="000000" w:themeColor="text1"/>
        </w:rPr>
        <w:t xml:space="preserve"> </w:t>
      </w:r>
    </w:p>
    <w:p w:rsidR="009067F8" w:rsidRPr="00DA5E64" w:rsidRDefault="009067F8" w:rsidP="009067F8">
      <w:pPr>
        <w:jc w:val="both"/>
        <w:rPr>
          <w:color w:val="000000" w:themeColor="text1"/>
          <w:u w:val="single"/>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1E539A" w:rsidRDefault="00EE1C8F"/>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C3" w:rsidRDefault="00E46BC3" w:rsidP="009067F8">
      <w:r>
        <w:separator/>
      </w:r>
    </w:p>
  </w:endnote>
  <w:endnote w:type="continuationSeparator" w:id="0">
    <w:p w:rsidR="00E46BC3" w:rsidRDefault="00E46BC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C3" w:rsidRDefault="00E46BC3" w:rsidP="009067F8">
      <w:r>
        <w:separator/>
      </w:r>
    </w:p>
  </w:footnote>
  <w:footnote w:type="continuationSeparator" w:id="0">
    <w:p w:rsidR="00E46BC3" w:rsidRDefault="00E46BC3"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6BAB"/>
    <w:rsid w:val="000A58CE"/>
    <w:rsid w:val="000B7A6A"/>
    <w:rsid w:val="000E0864"/>
    <w:rsid w:val="00173CA9"/>
    <w:rsid w:val="00185D9C"/>
    <w:rsid w:val="002B1227"/>
    <w:rsid w:val="00370656"/>
    <w:rsid w:val="004B1F7D"/>
    <w:rsid w:val="0054619A"/>
    <w:rsid w:val="0057479A"/>
    <w:rsid w:val="0058304A"/>
    <w:rsid w:val="00592497"/>
    <w:rsid w:val="005C7442"/>
    <w:rsid w:val="006043D3"/>
    <w:rsid w:val="00613453"/>
    <w:rsid w:val="006F1CBD"/>
    <w:rsid w:val="00723807"/>
    <w:rsid w:val="00825B72"/>
    <w:rsid w:val="00834777"/>
    <w:rsid w:val="008C07C2"/>
    <w:rsid w:val="00903175"/>
    <w:rsid w:val="009067F8"/>
    <w:rsid w:val="00912D23"/>
    <w:rsid w:val="0092229C"/>
    <w:rsid w:val="00953078"/>
    <w:rsid w:val="00955E54"/>
    <w:rsid w:val="00A44799"/>
    <w:rsid w:val="00AA369A"/>
    <w:rsid w:val="00B2379C"/>
    <w:rsid w:val="00B44AE8"/>
    <w:rsid w:val="00C0485D"/>
    <w:rsid w:val="00CE3D35"/>
    <w:rsid w:val="00D15CBB"/>
    <w:rsid w:val="00D30132"/>
    <w:rsid w:val="00D34BD6"/>
    <w:rsid w:val="00D44B20"/>
    <w:rsid w:val="00D55EC3"/>
    <w:rsid w:val="00DA5E64"/>
    <w:rsid w:val="00DE55BC"/>
    <w:rsid w:val="00E06C91"/>
    <w:rsid w:val="00E205AE"/>
    <w:rsid w:val="00E25E6F"/>
    <w:rsid w:val="00E46BC3"/>
    <w:rsid w:val="00EB74C9"/>
    <w:rsid w:val="00EE1C8F"/>
    <w:rsid w:val="00EE3F05"/>
    <w:rsid w:val="00EF79CE"/>
    <w:rsid w:val="00FA0BA1"/>
    <w:rsid w:val="00FC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8F8B-B956-4FC6-A693-5D9CFEBA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2940</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cp:revision>
  <cp:lastPrinted>2017-02-15T05:49:00Z</cp:lastPrinted>
  <dcterms:created xsi:type="dcterms:W3CDTF">2017-02-15T11:51:00Z</dcterms:created>
  <dcterms:modified xsi:type="dcterms:W3CDTF">2017-03-28T04:17:00Z</dcterms:modified>
</cp:coreProperties>
</file>