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ИТОГОВЫЙ ОТЧЕТ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результатах анализа состояния и перспектив развития муниципальной системы образования города Югорска за 2021 год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8232C" w:rsidRPr="0038232C" w:rsidRDefault="0038232C" w:rsidP="0038232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Анализ состояния и перспектив развития системы образования</w:t>
      </w:r>
    </w:p>
    <w:p w:rsidR="0038232C" w:rsidRPr="0038232C" w:rsidRDefault="0038232C" w:rsidP="0038232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Вводная часть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1.1. Социально – экономическая характеристика муниципального образования городской округ город Югорск</w:t>
      </w:r>
    </w:p>
    <w:p w:rsidR="0038232C" w:rsidRPr="0038232C" w:rsidRDefault="0038232C" w:rsidP="0038232C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Город Югорск расположен в западной части Ханты-Мансийского автономного округа -Югры Тюменской области, в бассейне рек </w:t>
      </w:r>
      <w:proofErr w:type="gramStart"/>
      <w:r w:rsidRPr="0038232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Ух</w:t>
      </w:r>
      <w:proofErr w:type="gramEnd"/>
      <w:r w:rsidRPr="0038232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и Эсс, притоков реки Конда. Граничит с муниципальным образованием Советский район ХМАО. Расстояние до столицы Ханты-Мансийского автономного округа, города Ханты-Мансийска - 420 км.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 xml:space="preserve">Численность постоянного населения города Югорска на 01.01.2021 составила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38,6 </w:t>
      </w:r>
      <w:r w:rsidRPr="0038232C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 xml:space="preserve">тыс. человек.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 xml:space="preserve">В 2021 году в Югорске родилось 377 детей (2020 год – 410 чел., 2019 год – 411 чел.). Тенденция снижения рождаемости, отмечаемая в стране, коснулась и города Югорска.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 xml:space="preserve">Снижение уровня рождаемости и рост уровня смертности отразился на значении естественного прироста населения города. Несмотря на сдерживающие факторы, влияющие на рост демографических процессов, в том числе и негативные последствия эпидемиологической ситуации, связанной с распространением новой вирусной инфекции COVID -19, в целом, положительные результаты демографического развития обеспечиваются мерами социальной поддержки семей, </w:t>
      </w:r>
      <w:proofErr w:type="spellStart"/>
      <w:r w:rsidRPr="0038232C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>трудозанятости</w:t>
      </w:r>
      <w:proofErr w:type="spellEnd"/>
      <w:r w:rsidRPr="0038232C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>, планомерной диспансеризацией населения, использованием инновационных технологий в системе оказания медицинских услуг, реализацией соответствующих мер в сфере образования и жилищной политики города Югорска.</w:t>
      </w:r>
    </w:p>
    <w:p w:rsidR="0038232C" w:rsidRPr="0038232C" w:rsidRDefault="0038232C" w:rsidP="00B846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Численность трудовых </w:t>
      </w:r>
      <w:proofErr w:type="gram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ресурсов  составляет</w:t>
      </w:r>
      <w:proofErr w:type="gram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города Югорска (женщины 16 - 59 лет, мужчины 16 - 64 лет) составляют 24,56 тыс. человек.</w:t>
      </w:r>
    </w:p>
    <w:p w:rsidR="0038232C" w:rsidRPr="0038232C" w:rsidRDefault="0038232C" w:rsidP="00B8468F">
      <w:pPr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Среднесписочная численность работающих (без внешних совместителей) по полному кругу организаций города Югорска – 13,3 тыс. человек. Преобладающая часть занятого населения (12,5 тыс. человек) сосредоточена в крупных и средних организациях, что соответствует прогнозной оценке на 2021 год. Численность официально зарегистрированных безработных составила на конец отчетного периода 193 человека, что составляет 0,5 процентов от общего числа населения города Югорска.</w:t>
      </w:r>
    </w:p>
    <w:p w:rsidR="0038232C" w:rsidRPr="0038232C" w:rsidRDefault="0038232C" w:rsidP="00B8468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На местном рынке труда востребованы высококвалифицированные рабочие профессии в сфере строительства, транспорта и связи, производства, торговли, гостиничного и ресторанного бизнеса. Неквалифицированные рабочие профессии требуются в сферу оказания транспортных услуг и хранения, а также в жилищно-коммунальном комплексе.</w:t>
      </w:r>
    </w:p>
    <w:p w:rsidR="0038232C" w:rsidRPr="0038232C" w:rsidRDefault="0038232C" w:rsidP="00B8468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Требуются специалисты в организации образования, здравоохранения и в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сферу администрирования и бизнеса. </w:t>
      </w:r>
    </w:p>
    <w:p w:rsidR="0038232C" w:rsidRPr="0038232C" w:rsidRDefault="0038232C" w:rsidP="00B8468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Профориентационной работой охвачены все группы безработных, состоящие на учете в КУ «Югорский центр занятости населения».</w:t>
      </w:r>
    </w:p>
    <w:p w:rsidR="0038232C" w:rsidRPr="0038232C" w:rsidRDefault="0038232C" w:rsidP="0038232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Содействию </w:t>
      </w:r>
      <w:proofErr w:type="spell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трудозанятости</w:t>
      </w:r>
      <w:proofErr w:type="spell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способствует деятельность МАУ «МЦ «Гелиос», которым в рамках организации общественных работ </w:t>
      </w:r>
      <w:proofErr w:type="gram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незанятых трудовой деятельностью</w:t>
      </w:r>
      <w:proofErr w:type="gram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безработных граждан, временного трудоустройства безработных граждан, испытывающих трудности в поиске работы, создано 62 рабочих места.</w:t>
      </w:r>
    </w:p>
    <w:p w:rsidR="0038232C" w:rsidRPr="0038232C" w:rsidRDefault="0038232C" w:rsidP="0038232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Потребность экономики города Югорска в трудовых ресурсах восполнялась за счет внутри и межрегиональных миграционных потоков. Миграционные потоки иностранной рабочей силы в 2021 году были минимизированы, в связи с закрытием границ ближнего и дальнего зарубежья по причине введения ограничительных мер, связанных с заболеваемостью населения новой коронавирусной инфекцией.</w:t>
      </w:r>
    </w:p>
    <w:p w:rsidR="0038232C" w:rsidRPr="0038232C" w:rsidRDefault="0038232C" w:rsidP="0038232C">
      <w:pPr>
        <w:suppressAutoHyphens/>
        <w:spacing w:after="0" w:line="240" w:lineRule="auto"/>
        <w:ind w:firstLine="283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1.2. Контактная информация Управления образования администрации города Югорска</w:t>
      </w:r>
    </w:p>
    <w:p w:rsidR="0038232C" w:rsidRPr="0038232C" w:rsidRDefault="0038232C" w:rsidP="0038232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ar-SA"/>
        </w:rPr>
        <w:t>Управление образования администрации города Югорска является органом администрации города Югорска, осуществляющим управление в сфере образования на территории города Югорска.</w:t>
      </w:r>
    </w:p>
    <w:p w:rsidR="0038232C" w:rsidRPr="0038232C" w:rsidRDefault="0038232C" w:rsidP="0038232C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ar-SA"/>
        </w:rPr>
        <w:t>Начальник Управления образования администрации города Югорска: Наталья Игоревна Бобровская.</w:t>
      </w:r>
    </w:p>
    <w:p w:rsidR="0038232C" w:rsidRPr="0038232C" w:rsidRDefault="0038232C" w:rsidP="0038232C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Адрес: 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628260, г. Югорск, Ханты-Мансийский автономный округ-Югра, ул. Геологов, д.13. 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Телефон/факс: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(34675) 7-26-41; 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e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val="en-US" w:eastAsia="ru-RU"/>
        </w:rPr>
        <w:t>mail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: </w:t>
      </w:r>
      <w:hyperlink r:id="rId8" w:history="1">
        <w:r w:rsidRPr="0038232C">
          <w:rPr>
            <w:rFonts w:ascii="PT Astra Serif" w:eastAsia="Times New Roman" w:hAnsi="PT Astra Serif" w:cs="Times New Roman"/>
            <w:bCs/>
            <w:color w:val="0563C1"/>
            <w:sz w:val="28"/>
            <w:szCs w:val="28"/>
            <w:u w:val="single"/>
            <w:lang w:val="en-US" w:eastAsia="ru-RU"/>
          </w:rPr>
          <w:t>obrazovanie</w:t>
        </w:r>
        <w:r w:rsidRPr="0038232C">
          <w:rPr>
            <w:rFonts w:ascii="PT Astra Serif" w:eastAsia="Times New Roman" w:hAnsi="PT Astra Serif" w:cs="Times New Roman"/>
            <w:bCs/>
            <w:color w:val="0563C1"/>
            <w:sz w:val="28"/>
            <w:szCs w:val="28"/>
            <w:u w:val="single"/>
            <w:lang w:eastAsia="ru-RU"/>
          </w:rPr>
          <w:t>@</w:t>
        </w:r>
        <w:proofErr w:type="spellStart"/>
        <w:r w:rsidRPr="0038232C">
          <w:rPr>
            <w:rFonts w:ascii="PT Astra Serif" w:eastAsia="Times New Roman" w:hAnsi="PT Astra Serif" w:cs="Times New Roman"/>
            <w:bCs/>
            <w:color w:val="0563C1"/>
            <w:sz w:val="28"/>
            <w:szCs w:val="28"/>
            <w:u w:val="single"/>
            <w:lang w:val="en-US" w:eastAsia="ru-RU"/>
          </w:rPr>
          <w:t>ugorsk</w:t>
        </w:r>
        <w:proofErr w:type="spellEnd"/>
        <w:r w:rsidRPr="0038232C">
          <w:rPr>
            <w:rFonts w:ascii="PT Astra Serif" w:eastAsia="Times New Roman" w:hAnsi="PT Astra Serif" w:cs="Times New Roman"/>
            <w:bCs/>
            <w:color w:val="0563C1"/>
            <w:sz w:val="28"/>
            <w:szCs w:val="28"/>
            <w:u w:val="single"/>
            <w:lang w:eastAsia="ru-RU"/>
          </w:rPr>
          <w:t>.</w:t>
        </w:r>
        <w:r w:rsidRPr="0038232C">
          <w:rPr>
            <w:rFonts w:ascii="PT Astra Serif" w:eastAsia="Times New Roman" w:hAnsi="PT Astra Serif" w:cs="Times New Roman"/>
            <w:bCs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адрес официального сайта: </w:t>
      </w:r>
      <w:r w:rsidRPr="0038232C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uo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86.</w:t>
      </w:r>
      <w:r w:rsidRPr="0038232C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8232C" w:rsidRPr="0038232C" w:rsidRDefault="0038232C" w:rsidP="0038232C">
      <w:pPr>
        <w:widowControl w:val="0"/>
        <w:numPr>
          <w:ilvl w:val="1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Информация о программах и проектах в сфере образования</w:t>
      </w:r>
    </w:p>
    <w:p w:rsidR="0038232C" w:rsidRPr="0038232C" w:rsidRDefault="0038232C" w:rsidP="0038232C">
      <w:pPr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Стратегической целью развития системы образования города Югорска является обеспечение доступности качественного образования, соответствующие требованиям инновационного развития экономики, современным потребностям общества и каждого жителя Югорска.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Механизмом реализации поставленной цели выступает программно-целевой подход, осуществляемый посредством реализации муниципальной программы города Югорска «Развитие образования» и участия в реализации муниципальных программ города Югорска, где Управление образования является соисполнителем: «</w:t>
      </w:r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>Отдых и оздоровление детей»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, «Охрана окружающей среды, использование и защита городских лесов», «Доступная среда», «Развитие гражданского общества, реализация государственной национальной политики и профилактика экстремизма», «Молодежная политика и организация временного трудоустройства».</w:t>
      </w:r>
    </w:p>
    <w:p w:rsidR="0038232C" w:rsidRPr="0038232C" w:rsidRDefault="0038232C" w:rsidP="0038232C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1.4. Краткая информация о проведении анализа состояния и перспектив развития системы образования</w:t>
      </w:r>
    </w:p>
    <w:p w:rsidR="0038232C" w:rsidRPr="0038232C" w:rsidRDefault="0038232C" w:rsidP="003823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Основной целью развития системы образования города Югорска является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Югорска.</w:t>
      </w:r>
    </w:p>
    <w:p w:rsidR="0038232C" w:rsidRPr="0038232C" w:rsidRDefault="0038232C" w:rsidP="00B8468F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Муниципальная образовательная система функционирует и развивается в условиях реализации федеральных государственных образовательных стандартов, формирования механизмов управления качеством образования, развития системы воспитания и дополнительного образования в рамках реализации национальных проектов «Образование» и «Демография».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Приоритетные направления развития муниципальной системы образования в 2021 году базировались на решении задач региональных проектов по реализации национального проекта «Образование», а именно: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внедрение новых методов обучения и воспитания, современных образовательных технологий, обновление содержания и совершенствование методов обучения;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профессиональное развитие педагогических коллективов, профессионального уровня педагогических работников;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повышение эффективности воспитательного процесса и социализации обучающихся;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-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развитие информационно - технологической инфраструктуры школ, позволяющей ученику, учителю, администрации и родителям использовать современные цифровые инструменты, сервисы и ресурсы; 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повышение психолого-педагогической компетентности родителей обучающихся через реализацию программ родительского просвещения.</w:t>
      </w:r>
    </w:p>
    <w:p w:rsidR="0038232C" w:rsidRPr="0038232C" w:rsidRDefault="0038232C" w:rsidP="0038232C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Анализ состояния и перспектив  развития системы образования проведен на основе следующих статистических отчетов: форма № 85-К «Сведения о деятельности дошкольной образовательной организации», форма ОО-1 (сводная) «Сведения об организации, осуществляющей подготовку по программам начального общего, основного общего, среднего общего образования», форма ОО-2 (сводная) «Сведения о материально-технической и информационной базе, финансово-экономической деятельности общеобразовательной организации», форма 1-ДО (сводная) «Сведения об учреждениях дополнительного образования детей», форма №1-ДОП «Сведения о дополнительном образовании и спортивной подготовке детей».</w:t>
      </w:r>
    </w:p>
    <w:p w:rsidR="0038232C" w:rsidRPr="0038232C" w:rsidRDefault="0038232C" w:rsidP="0038232C">
      <w:pPr>
        <w:suppressAutoHyphens/>
        <w:spacing w:after="0" w:line="240" w:lineRule="auto"/>
        <w:ind w:firstLine="566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Основой для анализа состояния и перспектив развития муниципальной системы образования города Югорска также стали: публичный доклад о состоянии и результатах деятельности системы образования города Югорска за 2021 год, публичные доклады образовательных учреждений, отчеты образовательных учреждений о результатах самообследования.</w:t>
      </w:r>
    </w:p>
    <w:p w:rsidR="0038232C" w:rsidRPr="0038232C" w:rsidRDefault="0038232C" w:rsidP="0038232C">
      <w:pPr>
        <w:suppressAutoHyphens/>
        <w:spacing w:after="0" w:line="240" w:lineRule="auto"/>
        <w:ind w:firstLine="283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2. Анализ состояния и перспектив развития системы образования</w:t>
      </w:r>
    </w:p>
    <w:p w:rsidR="0038232C" w:rsidRPr="0038232C" w:rsidRDefault="0038232C" w:rsidP="0038232C">
      <w:pPr>
        <w:suppressAutoHyphens/>
        <w:spacing w:after="0" w:line="240" w:lineRule="auto"/>
        <w:ind w:left="283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2.1. Общее образование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2.1.1. Сведения о развитии дошкольного образования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Уровень доступности дошкольного образования и численность населения, получающего дошкольное образование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Обеспечение доступного и качественного дошкольного образования -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важная задача для образовательной системы</w:t>
      </w:r>
      <w:r w:rsidRPr="0038232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города Югорска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, решение которой позволяет повышать стартовые возможности детей этого возраста.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Услуги в области дошкольного образования на территории города Югорска оказывают: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- 3 автономных дошкольных образовательных учреждения;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- 5 общеобразовательных учреждений, в состав которых входят группы детей дошкольного возраста;</w:t>
      </w:r>
    </w:p>
    <w:p w:rsidR="0038232C" w:rsidRPr="0038232C" w:rsidRDefault="0038232C" w:rsidP="0038232C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двое индивидуальных предпринимателей, реализующих основную образовательную программу дошкольного образования.</w:t>
      </w:r>
    </w:p>
    <w:p w:rsidR="0038232C" w:rsidRPr="0038232C" w:rsidRDefault="0038232C" w:rsidP="0038232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Охват детей в возрасте от 2 месяцев до 7 лет дошкольным образованием в 2021 году незначительно повысился по сравнению с 2020 годом и </w:t>
      </w:r>
      <w:bookmarkStart w:id="1" w:name="OLE_LINK1"/>
      <w:bookmarkStart w:id="2" w:name="OLE_LINK2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составил 71,2 процент</w:t>
      </w:r>
      <w:bookmarkEnd w:id="1"/>
      <w:bookmarkEnd w:id="2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ов (диаграмма 1).</w:t>
      </w:r>
      <w:r w:rsidRPr="0038232C">
        <w:rPr>
          <w:rFonts w:ascii="Arial" w:eastAsia="Times New Roman" w:hAnsi="Arial" w:cs="Arial"/>
          <w:b/>
          <w:bCs/>
          <w:color w:val="2F5496"/>
          <w:sz w:val="30"/>
          <w:szCs w:val="30"/>
          <w:lang w:eastAsia="ru-RU"/>
        </w:rPr>
        <w:t xml:space="preserve"> </w:t>
      </w:r>
    </w:p>
    <w:p w:rsidR="0038232C" w:rsidRPr="0038232C" w:rsidRDefault="0038232C" w:rsidP="0038232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>Актуальный спрос населения на предоставление мест в образовательных учреждениях, реализующих основную образовательную программу дошкольного образования (далее – ДОУ), в 2021 году удовлетворен на 100 процентов.</w:t>
      </w:r>
      <w:r w:rsidRPr="0038232C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38232C" w:rsidRPr="0038232C" w:rsidRDefault="0038232C" w:rsidP="0038232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Двумя индивидуальными предпринимателями (О.А. Сушенцевой и И.А. Третьяковой) оказываются образовательные услуги и услуги по присмотру и уходу 77 воспитанникам: из них в возрасте от 1 до 3 лет – 40 детей, с 3 до 7лет – 37 детей, что составляет 3 процента от общей численности детей, посещающих ДОУ.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2F3B710E" wp14:editId="166CE5DA">
            <wp:simplePos x="0" y="0"/>
            <wp:positionH relativeFrom="column">
              <wp:posOffset>3175</wp:posOffset>
            </wp:positionH>
            <wp:positionV relativeFrom="paragraph">
              <wp:posOffset>786130</wp:posOffset>
            </wp:positionV>
            <wp:extent cx="5534025" cy="2057400"/>
            <wp:effectExtent l="0" t="0" r="9525" b="19050"/>
            <wp:wrapTopAndBottom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Диаграмма 1. Охват детей в возрасте от 2 месяцев до 7 лет дошкольным образованием от общей численности населения от 2 месяцев до 7 лет (включительно).</w:t>
      </w:r>
    </w:p>
    <w:p w:rsidR="0038232C" w:rsidRPr="0038232C" w:rsidRDefault="0038232C" w:rsidP="003823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2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232C" w:rsidRPr="0038232C" w:rsidRDefault="0038232C" w:rsidP="0038232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ABAA5C6" wp14:editId="15768502">
            <wp:simplePos x="0" y="0"/>
            <wp:positionH relativeFrom="column">
              <wp:posOffset>5715</wp:posOffset>
            </wp:positionH>
            <wp:positionV relativeFrom="paragraph">
              <wp:posOffset>1263650</wp:posOffset>
            </wp:positionV>
            <wp:extent cx="2615565" cy="1812290"/>
            <wp:effectExtent l="0" t="19050" r="0" b="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Ежегодно уменьшается доля детей в возрасте от 2 месяцев до 3 лет, стоящих в очереди для выделения места в ДОУ (рисунок 1). В 2021 году численность детей в возрасте от 2 месяцев до 3 лет, нуждающихся в предоставлении места на последующие годы (отложенный спрос) составила 511 детей (14 процентов от общего числа детей дошкольного возраста), </w:t>
      </w:r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том числе: от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>2 месяцев до 1 года - 230 детей, от 1 года до 2 лет - 243 детей, от 2 лет до 3 лет - 38 детей.</w:t>
      </w:r>
    </w:p>
    <w:p w:rsidR="0038232C" w:rsidRPr="0038232C" w:rsidRDefault="0038232C" w:rsidP="0038232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Средняя наполняемость в группах общеразвивающей направленности – 23,9 человека, в группах компенсирующей направленности – 8 человек, в группах комбинированной направленности – 14 человек,</w:t>
      </w:r>
      <w:r w:rsidRPr="0038232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 группах, функционирующих в режиме кратковременного пребывания – 10 человек.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Таким образом, в 2021 году решена проблема обеспеченности детей в возрасте с 1,5 до 3 лет местами в дошкольных образовательных учреждениях. Все дети с желаемым 2021 годом зачисления, обеспечены местами с 01.09.2021.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Продолжено осуществление финансовой поддержки индивидуальных предпринимателей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образования, что позволило значительно снизить размер родительской платы у данных предпринимателей. Так в 2021 году 93 семьи обратились и получили «сертификат дошкольника» для посещения групп полного дня и кратковременного пребывания у индивидуальных предпринимателей (Сушенцевой О.А. и Третьяковой И.А.).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38232C" w:rsidRPr="0038232C" w:rsidRDefault="0038232C" w:rsidP="0038232C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SimSun" w:hAnsi="PT Astra Serif" w:cs="Times New Roman"/>
          <w:bCs/>
          <w:sz w:val="28"/>
          <w:szCs w:val="28"/>
          <w:lang w:eastAsia="ru-RU"/>
        </w:rPr>
      </w:pP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>Основные образовательные программы дошкольного образования, реализуемые во всех образовательных учреждениях, соответствуют федеральным государственным образовательным стандартам дошкольного образования (далее - ФГОС ДО).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 xml:space="preserve">Все </w:t>
      </w:r>
      <w:r w:rsidRPr="0038232C">
        <w:rPr>
          <w:rFonts w:ascii="PT Astra Serif" w:eastAsia="SimSu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групповые помещения оснащены традиционными и инновационными средствами обучения. </w:t>
      </w:r>
      <w:r w:rsidRPr="0038232C">
        <w:rPr>
          <w:rFonts w:ascii="PT Astra Serif" w:eastAsia="TimesNewRoman" w:hAnsi="PT Astra Serif" w:cs="Times New Roman"/>
          <w:sz w:val="28"/>
          <w:szCs w:val="28"/>
          <w:lang w:eastAsia="ru-RU"/>
        </w:rPr>
        <w:t xml:space="preserve">В соответствии с ФГОС ДО в 100 процентах образовательных учреждений создана мобильная развивающая предметно-пространственная среда, </w:t>
      </w: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>меняющаяся в зависимости от содержания образовательного процесса.</w:t>
      </w:r>
    </w:p>
    <w:p w:rsidR="0038232C" w:rsidRPr="0038232C" w:rsidRDefault="0038232C" w:rsidP="0038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SimSu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Доля педагогических кадров, прошедших повышение квалификации для работы по федеральным государственным образовательным стандартам </w:t>
      </w: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 xml:space="preserve">дошкольного образования,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100 процентов.</w:t>
      </w: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 xml:space="preserve"> </w:t>
      </w:r>
    </w:p>
    <w:p w:rsidR="0038232C" w:rsidRPr="0038232C" w:rsidRDefault="0038232C" w:rsidP="0038232C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highlight w:val="yellow"/>
          <w:lang w:eastAsia="ru-RU" w:bidi="ru-RU"/>
        </w:rPr>
      </w:pPr>
      <w:r w:rsidRPr="0038232C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 xml:space="preserve">С целью реализации регионального проекта «Поддержка семей, имеющих детей» национального проекта «Образование» специалистами консультационных центров муниципальных дошкольных образовательных </w:t>
      </w:r>
      <w:r w:rsidRPr="0038232C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lastRenderedPageBreak/>
        <w:t>учреждений, а также специалистами центров психолого-педагогической, медицинской и социальной помощи оказано 3855 услуг психолого -педагогической, методической и консультативной помощи родителям в вопросах воспитания, а также гражданам, желающим принять на воспитание в свои семьи детей, оставшихся без попечения родителей.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color w:val="FF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Кадровое обеспечение дошкольных образовательных организаций и оценка уровня заработной платы педагогических работников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Все ДОУ укомплектованы кадрами в соответствии со штатным расписанием.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связи с уменьшением общего количества детей, посещающих ДОУ, численность воспитанников в расчете на 1 педагогического работника уменьшилась и составила 8,3 чел. (2019 год - 9,45 чел., 2020 - 9,88).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Диаграмма 2. Численность детей, посещающих ДОУ, в расчете на 1 педагогического работника.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D95CAA" wp14:editId="73C4D5C6">
            <wp:extent cx="5524500" cy="1876425"/>
            <wp:effectExtent l="0" t="0" r="0" b="952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 общего состава педагогических работников </w:t>
      </w:r>
      <w:r w:rsidRPr="0038232C">
        <w:rPr>
          <w:rFonts w:ascii="Times New Roman" w:eastAsia="Times New Roman" w:hAnsi="Times New Roman" w:cs="Times New Roman"/>
          <w:sz w:val="28"/>
          <w:szCs w:val="28"/>
          <w:lang w:eastAsia="ru-RU"/>
        </w:rPr>
        <w:t>76 процентов это воспитатели.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Материально-техническое и информационное обеспечение образовательных учреждений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создания условий для реализации </w:t>
      </w:r>
      <w:r w:rsidRPr="0038232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ФГСО ДОУ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2020 году обеспечено дальнейшее развитие материально-технической составляющей образовательной среды.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Планомерное повышение уровня оснащенности ДОУ позволило достичь показателя в </w:t>
      </w:r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>100 процентов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2021 году</w:t>
      </w:r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по сравнению предыдущим 2020 </w:t>
      </w:r>
      <w:proofErr w:type="gramStart"/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>годом  (</w:t>
      </w:r>
      <w:proofErr w:type="gramEnd"/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>2020  год – 99,4 процента, 2019 год – 98 процентов).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Площадь помещений, используемых непосредственно для нужд ДОУ, в расчете на 1 ребенка на протяжении т составляет 8,87 кв.м.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100 процентов ДОУ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имеют все виды благоустройства (водопровод, центральное отопление, канализацию).</w:t>
      </w:r>
    </w:p>
    <w:p w:rsidR="0038232C" w:rsidRPr="0038232C" w:rsidRDefault="0038232C" w:rsidP="00E01B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 всех ДОУ и у индивидуального предпринимателя О.А. Сушенцевой имеется спортивный зал. У индивидуального предпринимателя И.А. Третьяковой физкультурный зал отсутствует, поэтому в целях реализации образовательной области «Физическая культура» основной общеобразовательной программы дошкольного образования заключен договор безвозмездного пользования физкультурным залом с МАДОУ «Детский сад комбинированного вида «Радуга». </w:t>
      </w:r>
    </w:p>
    <w:p w:rsidR="0038232C" w:rsidRPr="0038232C" w:rsidRDefault="0038232C" w:rsidP="00E01B0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Персональные компьютеры, доступные для использования детьми, ни в одном ДОУ не используются.</w:t>
      </w:r>
    </w:p>
    <w:p w:rsidR="0038232C" w:rsidRPr="0038232C" w:rsidRDefault="0038232C" w:rsidP="00E01B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Условия получения дошкольного образования лицами с ограниченными возможностями здоровья и инвалидами</w:t>
      </w:r>
    </w:p>
    <w:p w:rsidR="0038232C" w:rsidRPr="0038232C" w:rsidRDefault="0038232C" w:rsidP="00E01B0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Продолжают создаваться условия для получения дошкольного образования лицами с ограниченными возможностями здоровья и детьми - инвалидами. </w:t>
      </w:r>
    </w:p>
    <w:p w:rsidR="0038232C" w:rsidRPr="0038232C" w:rsidRDefault="0038232C" w:rsidP="00E01B0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протяжении </w:t>
      </w:r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>двух последних лет в городе сохраняется высокое число воспитанников, имеющих особенности в развитии. Так, в 2021 году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количество таких детей составило 47 человек, что составляет 2 процента от </w:t>
      </w:r>
      <w:r w:rsidRPr="0038232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общей численности воспитанников ДОУ.</w:t>
      </w:r>
    </w:p>
    <w:p w:rsidR="0038232C" w:rsidRPr="0038232C" w:rsidRDefault="0038232C" w:rsidP="00E01B0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Число детей – </w:t>
      </w:r>
      <w:proofErr w:type="gram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инвалидов</w:t>
      </w:r>
      <w:proofErr w:type="gram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посещающих ДОУ, повысилось по сравнению с 2020 годом и составило 32 человека (2021 год 1,3 процента, 2020 год – 1 процент, 2019 год – 1,3 процента, 2018 год – 0,95 процентов, 2017 год – 1,38 процентов, 2016 год - 1,23 процента).</w:t>
      </w:r>
    </w:p>
    <w:p w:rsidR="0038232C" w:rsidRPr="0038232C" w:rsidRDefault="0038232C" w:rsidP="00E01B0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Диаграмма 3. Доля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</w:t>
      </w:r>
    </w:p>
    <w:p w:rsidR="0038232C" w:rsidRPr="0038232C" w:rsidRDefault="0038232C" w:rsidP="00E01B0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2C" w:rsidRPr="0038232C" w:rsidRDefault="0038232C" w:rsidP="00E01B0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3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49FC0C" wp14:editId="6E574095">
            <wp:extent cx="5638800" cy="17716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232C" w:rsidRPr="0038232C" w:rsidRDefault="0038232C" w:rsidP="00E01B0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2C" w:rsidRPr="0038232C" w:rsidRDefault="0038232C" w:rsidP="00E01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32C" w:rsidRPr="0038232C" w:rsidRDefault="0038232C" w:rsidP="00E01B0B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SimSun" w:hAnsi="PT Astra Serif" w:cs="Times New Roman"/>
          <w:bCs/>
          <w:sz w:val="28"/>
          <w:szCs w:val="28"/>
          <w:lang w:eastAsia="ru-RU"/>
        </w:rPr>
      </w:pPr>
      <w:r w:rsidRPr="0038232C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В целях создания необходимых условий для организации обучения детей с ОВЗ дошкольного возраста ежегодно увеличивается количество групп компенсирующей и комбинированной направленности для детей с ОВЗ.  К уже существующим 10 группам компенсирующей и комбинированной направленности для детей с тяжелыми нарушениями речи, с тяжелыми множественными нарушениями развития в 2021 году дополнительно открыто 2 группы компенсирующей направленности для детей с расстройствами аутистического спектра и задержкой психического развития и 3 группы комбинированной направленности для детей различных нозологических групп (с нарушениями опорно - двигательного аппарата, тяжелым нарушениями речи).</w:t>
      </w:r>
    </w:p>
    <w:p w:rsidR="0038232C" w:rsidRPr="0038232C" w:rsidRDefault="0038232C" w:rsidP="00E01B0B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SimSun" w:hAnsi="PT Astra Serif" w:cs="Times New Roman"/>
          <w:bCs/>
          <w:sz w:val="28"/>
          <w:szCs w:val="28"/>
          <w:lang w:eastAsia="ru-RU"/>
        </w:rPr>
      </w:pPr>
      <w:r w:rsidRPr="0038232C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Группы комбинированной и компенсирующей направленности функционируют в шести образовательных учреждениях, реализующих образовательные программы дошкольного образования (МАДОУ «Детский сад комбинированного вида «Радуга», «Детский сад общеразвивающего вида с приоритетным осуществлением деятельности по физическому развитию детей «Снегурочка», «Детский сад общеразвивающего вида «Гусельки», МБОУ «Средняя общеобразовательная школа № 2» (дошкольные группы), МБОУ «Средняя общеобразовательная школа № 5» (дошкольные группы), МБОУ «Средняя общеобразовательная школа № 6» (дошкольные группы); их посещают 47 детей с ОВЗ.</w:t>
      </w:r>
    </w:p>
    <w:p w:rsidR="0038232C" w:rsidRPr="0038232C" w:rsidRDefault="0038232C" w:rsidP="0038232C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ab/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 целью создания благоприятных условий для воспитания и обучения детей, имеющих особенности в развитии, в соответствии с заключениями городской психолого-медико-педагогической комиссии (далее ПМПК) и индивидуальной программой реабилитации или абилитации в образовательных учреждениях созданы необходимые условия для обучения детей с ОВЗ и инвалидностью.</w:t>
      </w:r>
      <w:r w:rsidRPr="0038232C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8232C" w:rsidRPr="0038232C" w:rsidRDefault="0038232C" w:rsidP="003823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Таким образом, в муниципальной системе образования создаются условия для получения дошкольного образования детьми с ограниченными возможностями здоровья и детьми -инвалидами.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Состояние здоровья лиц, обучающихся по программам дошкольного образования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совершенствования организации комплексной работы по сохранению и укреплению здоровья воспитанников ежегодно проводится ряд мероприятий, обеспечивающих уменьшение рисков заболеваемости: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сезонная неспецифическая профилактика;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-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спортивно-массовые мероприятия, приобщающие дошкольников к здоровому образу жизни (дни здоровья, спортивные соревнования, президентские состязания, смотры-конкурсы, спортивно-развлекательные и спортивно-познавательные мероприятия и др.);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-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применяются технологии по здоровьесбережению и здоровому образу жизни: медико-гигиенические, физкультурно-оздоровительные; применяются технологии обеспечения безопасности жизнедеятельности;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проводятся в системе летние оздоровительные мероприятия, которыми охвачены 100 процентов воспитанников.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В 2021 году сеть ДОУ не изменилась.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Создание безопасных условий при организации образовательного процесса в дошкольных образовательных организациях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всех ДОУ и у индивидуальных предпринимателей созданы безопасные условия. Нет аварийных зданий и зданий, требующих капитального ремонта.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232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предъявляемыми требованиями к санитарно-бытовым условиям и охране здоровья обучающихся проведены текущие ремонты ДОУ,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организована работа по антитеррористической защищенности: в актуальном состоянии планы эвакуации из здания в случае чрезвычайной ситуации, паспорта антитеррористической защищенности образовательного учреждения, наглядная агитация.</w:t>
      </w:r>
    </w:p>
    <w:p w:rsidR="0038232C" w:rsidRPr="0038232C" w:rsidRDefault="0038232C" w:rsidP="0038232C">
      <w:pPr>
        <w:suppressAutoHyphens/>
        <w:spacing w:after="0" w:line="240" w:lineRule="auto"/>
        <w:ind w:left="360"/>
        <w:jc w:val="both"/>
        <w:rPr>
          <w:rFonts w:ascii="PT Astra Serif" w:eastAsia="Times New Roman" w:hAnsi="PT Astra Serif" w:cs="Times New Roman"/>
          <w:b/>
          <w:color w:val="FF0000"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ar-SA"/>
        </w:rPr>
        <w:t>2.1.2. Сведения о развитии начального общего образования, основного общего образования и среднего общего образования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 образование, основное общее образование и среднее общее образование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2021 году муниципальная система образования представлена 6-ю общеобразовательными организациями, в том числе: 5 муниципальных общеобразовательных организаций и 1 частная общеобразовательная организация «Православная гимназия Преподобного Сергия Радонежского». 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Существующая в городе сеть общеобразовательных организаций (далее – школы), их число и месторасположение позволяют обеспечить доступность получения общего образования.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Контингент обучающихся школ (в т.ч. ЧОУ «Югорская православная гимназия преподобного Сергия Радонежского») в течение последних трех лет имеет тенденцию к росту и составляет в 2021 году 5597 человека.</w:t>
      </w:r>
    </w:p>
    <w:p w:rsidR="0038232C" w:rsidRPr="0038232C" w:rsidRDefault="0038232C" w:rsidP="0038232C">
      <w:pPr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>Демографическая ситуация обусловила рост числа учащихся с 2019 года по 2021 год:</w:t>
      </w:r>
    </w:p>
    <w:p w:rsidR="0038232C" w:rsidRPr="0038232C" w:rsidRDefault="0038232C" w:rsidP="0038232C">
      <w:pPr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>- на уровне начального общего образования с 2327 до 2372 человек;</w:t>
      </w:r>
    </w:p>
    <w:p w:rsidR="0038232C" w:rsidRPr="0038232C" w:rsidRDefault="0038232C" w:rsidP="0038232C">
      <w:pPr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>- на уровне основного общего образования с 2589 до 2706 человек;</w:t>
      </w:r>
    </w:p>
    <w:p w:rsidR="0038232C" w:rsidRPr="0038232C" w:rsidRDefault="0038232C" w:rsidP="0038232C">
      <w:pPr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highlight w:val="yellow"/>
          <w:lang w:eastAsia="ru-RU"/>
        </w:rPr>
      </w:pP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>- на уровне среднего общего образования с 512 до 519 человек.</w:t>
      </w:r>
    </w:p>
    <w:p w:rsidR="0038232C" w:rsidRPr="0038232C" w:rsidRDefault="0038232C" w:rsidP="0038232C">
      <w:pPr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>Количество первоклассников в 2021 году составляет 614 человек (2020 – 629 чел., 2019 - 592 чел.).</w:t>
      </w:r>
    </w:p>
    <w:p w:rsidR="0038232C" w:rsidRPr="0038232C" w:rsidRDefault="0038232C" w:rsidP="0038232C">
      <w:pPr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SimSun" w:hAnsi="PT Astra Serif" w:cs="Times New Roman"/>
          <w:sz w:val="28"/>
          <w:szCs w:val="28"/>
          <w:lang w:eastAsia="ru-RU"/>
        </w:rPr>
        <w:t>Увеличилось количество классов - комплектов: с 236 в 2019 году до 241 в 2021 году.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Общим образованием в школах в 2021 году было охвачено 89,4 процента детей в возрасте 7-17 лет. Остальные 8 процентов детей данной категории обучаются в учреждениях высшего и среднего профессионального образования.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образовательные программы в школах соответствуют федеральным государственным образовательным стандартам. В 2021 году удельный вес численности учащихся, обучающихся в соответствии с федеральным государственным образовательным стандартом, в общей численности учащихся составил 100 процент.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Удельный вес численности учащихся, продолживших обучение после 9 класса, составил 56 процентов.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Средняя наполняемость классов составила: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начальное общее образование (1 – 4 классы) – 24,2 чел.;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основное общее образование (5 – 9 классы) – 23,3 чел.;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среднее общее образование (10 – 11 (12) классы) – 23,6 чел.</w:t>
      </w:r>
    </w:p>
    <w:p w:rsidR="0038232C" w:rsidRPr="0038232C" w:rsidRDefault="0038232C" w:rsidP="0038232C">
      <w:pPr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4"/>
          <w:szCs w:val="24"/>
          <w:lang w:eastAsia="ru-RU"/>
        </w:rPr>
      </w:pP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удовлетворения образовательных запросов обучающихся, их родителей (законных представителей) созданы условия для углубленного изучения учебных предметов. Данное направление является неотъемлемой частью профориентационной системы как муниципального, так и институционального уровня. В целом охват учащихся, углубленно изучающих отдельные учебные предметы в 2021 году, остается на уровне прежних лет на составляет 11,4 процентов (2020 – 13процентов, 2019 - 14 процентов, 2018 год – 13,3, 2017 год – 11,7 процентов, 2016 год - 11 процентов;).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>В целях ранней профессиональной ориентации обучающихся, в рамках реализации регионального проекта «Современная школа» национального проекта «Образование» в муниципальной системе образования внедрена система наставничества, направленная на формирование эффективной системы самоопределения и профессиональной ориентации учащихся в возрасте от 10 до 18 лет. В 2021 году 18,5 процентов (691 чел.) учащихся от общего числа учащихся в возрасте от 10 до 18 лет вовлечены в различные модели наставничества по типу выбора наставника. Сотрудники 7-ти предприятий города выступали в качестве наставников (Управление связи ООО «Газпром трансгаз Югорск»; БУ ХМАО-Югры «Югорская городская больница»; 9 отряд Отдела Федеральной Пожарной Службы; Управление аварийно - восстановительных работ ООО «Газпром трансгаз Югорск»; Комсомольское ЛПУ МГ ООО «Газпром трансгаз Югорск», Управление организации и восстановления основных фондов ООО «Газпром трансгаз Югорск», Югорский политехнический колледж.).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Основным условием обеспечения высокого качества образования является развитие кадрового потенциала.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 школах в 2021 году трудилось 494 педагогический работник (50,4 % от общей численности работников), из них 320 учителя.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На протяжении последних пяти лет численность учащихся в расчете на 1 педагогического работника составляет 10 человек.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Удельный вес численности учителей в возрасте до 35 лет в общей численности учителей по сравнению с 2020 годом снизился и составил 20 процент (2020 год – 21 процент).</w:t>
      </w:r>
    </w:p>
    <w:p w:rsidR="0038232C" w:rsidRPr="0038232C" w:rsidRDefault="0038232C" w:rsidP="0038232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8232C">
        <w:rPr>
          <w:rFonts w:ascii="PT Astra Serif" w:eastAsia="Calibri" w:hAnsi="PT Astra Serif" w:cs="Times New Roman"/>
          <w:sz w:val="28"/>
          <w:szCs w:val="28"/>
        </w:rPr>
        <w:t xml:space="preserve">Диаграмма 4.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Удельный вес численности учителей в возрасте до 35 лет в общей численности учителей общеобразовательных организаций</w:t>
      </w:r>
    </w:p>
    <w:p w:rsidR="0038232C" w:rsidRPr="0038232C" w:rsidRDefault="0038232C" w:rsidP="0038232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38232C">
        <w:rPr>
          <w:rFonts w:ascii="PT Astra Serif" w:eastAsia="Calibri" w:hAnsi="PT Astra Serif" w:cs="Times New Roman"/>
          <w:noProof/>
          <w:sz w:val="24"/>
          <w:szCs w:val="24"/>
          <w:lang w:eastAsia="ru-RU"/>
        </w:rPr>
        <w:drawing>
          <wp:inline distT="0" distB="0" distL="0" distR="0" wp14:anchorId="2455875F" wp14:editId="00370914">
            <wp:extent cx="5924550" cy="177165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232C" w:rsidRPr="0038232C" w:rsidRDefault="0038232C" w:rsidP="0038232C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38232C" w:rsidRPr="0038232C" w:rsidRDefault="0038232C" w:rsidP="0038232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Calibri" w:hAnsi="PT Astra Serif" w:cs="Times New Roman"/>
          <w:sz w:val="28"/>
          <w:szCs w:val="28"/>
          <w:lang w:eastAsia="ru-RU"/>
        </w:rPr>
        <w:t>В рамках обеспечения взаимодействия между семьей, школой и другими организациями, а также для организации обучения детей с особыми потребностями в 100 процентах школ имеют социальные педагоги, педагоги-психологи, учителя-логопеды.</w:t>
      </w:r>
    </w:p>
    <w:p w:rsidR="0038232C" w:rsidRPr="0038232C" w:rsidRDefault="0038232C" w:rsidP="0038232C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Arial"/>
          <w:sz w:val="28"/>
          <w:szCs w:val="28"/>
          <w:lang w:eastAsia="ru-RU"/>
        </w:rPr>
        <w:t>В целях содействия повышению престижа педагогической профессии, формированию общественного представления о творчески работающих педагогах, в том числе молодых, а также создания условий для самореализации педагогических работников города в 2021 году проведены: конкурсный отбор молодых педагогов на получение премии главы города Югорска «Признание»; муниципальный конкурс «Педагог года города Югорска». Обеспечено эффективное участие педагогов города в конкурсах федерального и регионального уровней.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Материально-техническое и информационное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38232C" w:rsidRPr="0038232C" w:rsidRDefault="0038232C" w:rsidP="0038232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 сохранилась на уровне 2017 года и составила составляет 4,9 кв.м.</w:t>
      </w:r>
    </w:p>
    <w:p w:rsidR="0038232C" w:rsidRPr="0038232C" w:rsidRDefault="0038232C" w:rsidP="0038232C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38232C">
        <w:rPr>
          <w:rFonts w:ascii="PT Astra Serif" w:eastAsia="Calibri" w:hAnsi="PT Astra Serif" w:cs="Times New Roman"/>
          <w:sz w:val="28"/>
          <w:szCs w:val="28"/>
        </w:rPr>
        <w:t>Здания всех школ имеют все виды благоустройства: водопровод, центральное отопление, канализацию. Таким образом, во всех общеобразовательных учреждениях созданы условия, отвечающие санитарно-гигиеническим требованиям.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всех школах достаточная компьютерная база: кабинеты начальной школы на 100 процентов укомплектованы интерактивным оборудованием; оборудованы компьютерами школьные библиотеки.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Увеличилось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с 10 в 2019 году до 14,6 в 2021 году, </w:t>
      </w:r>
      <w:r w:rsidRPr="0038232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из них имеющих доступ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к сети «Интернет» – 14,4.</w:t>
      </w:r>
    </w:p>
    <w:p w:rsidR="0038232C" w:rsidRPr="0038232C" w:rsidRDefault="0038232C" w:rsidP="00382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100 процентах общеобразовательных учреждениях скорость подключения к сети Интернет </w:t>
      </w:r>
      <w:r w:rsidRPr="0038232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100 Мбит/сек и выше.</w:t>
      </w:r>
    </w:p>
    <w:p w:rsidR="0038232C" w:rsidRPr="0038232C" w:rsidRDefault="0038232C" w:rsidP="0038232C">
      <w:pPr>
        <w:widowControl w:val="0"/>
        <w:tabs>
          <w:tab w:val="left" w:pos="567"/>
        </w:tabs>
        <w:autoSpaceDE w:val="0"/>
        <w:autoSpaceDN w:val="0"/>
        <w:adjustRightInd w:val="0"/>
        <w:spacing w:afterLines="200" w:after="48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Уровень оснащенности учебным оборудованием для реализации программ начального общего, основного общего и среднего общего образования </w:t>
      </w:r>
      <w:proofErr w:type="gram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составляет  94</w:t>
      </w:r>
      <w:proofErr w:type="gram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,5 процентов, что на 3,6 процентов выше по сравнению с 2020 годом (2020 год – 90,9 процентов, 2019 год - 89 процентов).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 2021 году продолжена реализация федерального проекта «Цифровая образовательная среда» национального проекта «Образование» путем 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уровней. Для успешной реализации регионального проекта «Цифровая образовательная среда» все школы осуществляют деятельность с использованием Государственной информационной системы «Образование Югры» в части зачисления в образовательные учреждения, организации обучения, в том числе дистанционного с применением электронных сервисов. Во всех школах обновлено информационное наполнение и функциональные возможности открытых и общедоступных информационных ресурсов, в том числе официальных сайтов в сети «Интернет».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Обеспечение реализации права обучающихся с ограниченными возможностями здоровья (далее - обучающиеся с ОВЗ) и инвалидностью на образование рассматривается как одна из важнейших задач государственной политики в области образования.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2021 году школы посещал 151 ребенок с ОВЗ, в том числе 71 детей-инвалидов (в 2020 году – 145 детей с ОВЗ, 2019 – 160 детей, 2018 году - 127 детей с ОВЗ, в 2017 году - 111 детей с ОВЗ). </w:t>
      </w:r>
    </w:p>
    <w:p w:rsidR="0038232C" w:rsidRPr="0038232C" w:rsidRDefault="0038232C" w:rsidP="00E01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2021 году продолжена реализация федеральных государственных стандартов: ФГОС для детей с ОВЗ; ФГОС для детей с умственной отсталостью. 100 </w:t>
      </w:r>
      <w:proofErr w:type="gram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процентов</w:t>
      </w:r>
      <w:proofErr w:type="gram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обучающихся с ОВЗ обучаются в соответствии с федеральным образовательным стандартом начального общего образования обучающихся с ОВЗ.</w:t>
      </w:r>
    </w:p>
    <w:p w:rsidR="0038232C" w:rsidRPr="0038232C" w:rsidRDefault="0038232C" w:rsidP="00E01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Численность обучающихся по адаптированным программам в расчете на 1 работника составила: 76 человек на учителя-дефектолога, 10,7 человек на учителя-логопеда, 13,7 – на педагога-психолога, 151 – на тьютора, ассистента (помощника).</w:t>
      </w:r>
    </w:p>
    <w:p w:rsidR="0038232C" w:rsidRPr="0038232C" w:rsidRDefault="0038232C" w:rsidP="00E01B0B">
      <w:pPr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SimSun" w:hAnsi="PT Astra Serif" w:cs="Times New Roman"/>
          <w:bCs/>
          <w:sz w:val="28"/>
          <w:szCs w:val="28"/>
          <w:lang w:eastAsia="ru-RU"/>
        </w:rPr>
        <w:t>В 2021 году отмечается положительная динамика в части степени оснащенности образовательных учреждений и предоставляемых на них услуг для детей-инвалидов и обучающихся с ОВЗ по сравнению с 2020 годом. Степень оснащенности общеобразовательных учреждений увеличилась на 7,5 процента и составила 55 процентов (2020 год – 47,5 %).</w:t>
      </w:r>
    </w:p>
    <w:p w:rsidR="0038232C" w:rsidRPr="0038232C" w:rsidRDefault="0038232C" w:rsidP="00E01B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Сопровождение реализации ФГОС ОВЗ осуществляется через реализацию механизма социального партнерства. Заключены договоры (соглашения) о сотрудничестве с бюджетным учреждением Ханты-Мансийского автономного округа – Югры «Югорский комплексный центр социального обслуживания населения»; с муниципальным автономным учреждением «Молодежный центр «Гелиос» с целью профориентации обучающихся с инвалидностью и обучающихся с ОВЗ; с муниципальными учреждениями культуры и спорта, с ООО «АКАДЕМИЯ» Центр здоровья и развития».</w:t>
      </w:r>
    </w:p>
    <w:p w:rsidR="0038232C" w:rsidRPr="0038232C" w:rsidRDefault="0038232C" w:rsidP="00E01B0B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С целью создания необходимых условий для организации обучения детей, имеющих особенности развития, организована деятельность МБОУ «Лицей им. Г.Ф. Атякшева» как базового образовательного учреждения, организующего дистанционное обучение для детей-инвалидов. В 2021 году дистанционно обучался 1 обучающийся (в 2020 году – 1 чел., в 2019 году – 1 чел.).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Сохранение и укрепление здоровья учащихся – важное направление развития общего образования. Законодательство предусматривает обеспечение </w:t>
      </w:r>
      <w:proofErr w:type="gram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образовательных организациях охраны здоровья</w:t>
      </w:r>
      <w:proofErr w:type="gram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обучающихся: организацию питания обучающихся; организацию и создание условий для профилактики заболеваний и оздоровления обучающихся, для занятия ими физической культурой и спортом; обеспечение безопасности обучающихся во время пребывания в организации, осуществляющей образовательную деятельность.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Горячим питанием в 2021 году обеспечено 95,8 процентов обучающихся.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школ, имеющих логопедический пункт или логопедический кабинет, составляла 83 процента.</w:t>
      </w:r>
    </w:p>
    <w:p w:rsidR="0038232C" w:rsidRPr="0038232C" w:rsidRDefault="0038232C" w:rsidP="00382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Физкультурные залы имели 100 процентов школ, 17 процентов закрытые плавательные бассейны.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 2021 году изменение сети школ не было.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Финансово-экономическая деятельность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 составил 219,58 тыс. рублей.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Создание безопасных условий при организации образовательного процесса в общеобразовательных организациях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 2020 году в муниципальной системе образования продолжена работа по обеспечению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Здания обеспечены: кнопками экстренного вызова группы быстрого реагирования - 100 процентов; системами пожарной безопасности -100 процентов;  охраной частными охранными предприятиями, имеющими лицензию на данный вид деятельности (в период образовательного процесса), сторожами - 100 процентов;  системами видеонаблюдения - 100 процентов; системами пожарной автоматики с дублированием сигнала о пожаре на пульт подразделения пожарной охраны без участия работников объекта - 100 процентов; - системами контроля и управления доступом - 100 процентов. Все школы оснащены стационарными </w:t>
      </w:r>
      <w:proofErr w:type="spell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металлодетекторами</w:t>
      </w:r>
      <w:proofErr w:type="spell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. Территории образовательных учреждений ограждены и освещаются, несанкционированный въезд автотранспорта на территорию исключен; организован пропускной режим.</w:t>
      </w:r>
    </w:p>
    <w:p w:rsidR="0038232C" w:rsidRPr="0038232C" w:rsidRDefault="0038232C" w:rsidP="0038232C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8232C" w:rsidRPr="0038232C" w:rsidRDefault="0038232C" w:rsidP="0038232C">
      <w:pPr>
        <w:suppressAutoHyphens/>
        <w:spacing w:after="0" w:line="240" w:lineRule="auto"/>
        <w:ind w:left="360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2.2. Дополнительное образование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2.2.1. Сведения о развитии дополнительного образования детей и взрослых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Численность населения, обучающегося по дополнительным общеобразовательным программам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Услуги дополнительного образования оказывают 13 муниципальных образовательных организаций, в том числе: 3 ДОУ; 5 школ; 2 организации дополнительного образования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(1 муниципальное бюджетное учреждение дополнительного образования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«Детско-юношеского центр «Прометей»,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подведомственное Управлению образования; 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 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муниципальное бюджетное учреждение дополнительного образования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«Детская школа искусств               г. Югорска», 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подведомственное Управлению культуры)</w:t>
      </w: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; автономное учреждение «Молодежный центр «Гелиос», МБУ СШОР «Центр Югорского спорта», а также государственная организация БУ «Югорский политехнический колледж». Наряду с муниципальными и государственными организациями услуги дополнительного образования оказывают 6 частных организаций и индивидуальных предпринимателей.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реализации проекта «Успех каждого ребенка» обеспечен охват 7241 детей в возрасте от 5 до 18 лет услугами дополнительного образования (с учетом учреждений физической культуры и спорта, культуры, общеобразовательных и дошкольных образовательных учреждений), что составляет 92 процента от общего числа детей в возрасте от 5 до 18 лет (2020 год - 81 процент, 2019 год - 78,8 процентов; 2018 год - 77,5 процента) (диаграмма 6), 58 процентов детей обучается по договорам об оказании платных услуг.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Диаграмма 5.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5A63F544" wp14:editId="47C529F7">
            <wp:extent cx="5095875" cy="1571625"/>
            <wp:effectExtent l="0" t="0" r="9525" b="9525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Содержание образовательной деятельности и организация образовательного процесса по дополнительным общеобразовательным программам</w:t>
      </w:r>
    </w:p>
    <w:p w:rsidR="0038232C" w:rsidRPr="0038232C" w:rsidRDefault="0038232C" w:rsidP="0038232C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Chars="300" w:firstLine="84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Развитие естественнонаучного и технического направлений в дополнительном образовании определено в городе Югорске как приоритетное. Программы технической и естественнонаучной направленности в 2021 году реализованы в ДЮЦ «Прометей», МБОУ «Гимназия», МБОУ «Лицей им.Г.Ф. Атякшева», МБОУ «СОШ № 2», МБОУ «СОШ № 5», МБОУ «СОШ № 6», МАДОУ «Радуга», МАУ «МЦ «Гелиос», БУ ПО ХМАО-Югры «ЮПК», МАДОУ «Снегурочка», МАДОУ «Радуга».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Направленность образовательных программ в учреждениях дополнительного образования представлена в таблице 1.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Таблица 1.</w:t>
      </w:r>
      <w:r w:rsidRPr="0038232C">
        <w:rPr>
          <w:rFonts w:ascii="PT Astra Serif" w:eastAsia="Times New Roman" w:hAnsi="PT Astra Serif" w:cs="Times New Roman"/>
          <w:bCs/>
          <w:i/>
          <w:sz w:val="28"/>
          <w:szCs w:val="28"/>
          <w:lang w:eastAsia="ru-RU"/>
        </w:rPr>
        <w:t xml:space="preserve"> </w:t>
      </w:r>
      <w:r w:rsidRPr="0038232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Направленность образовательных программ в учреждениях дополнительного образования детей</w:t>
      </w:r>
    </w:p>
    <w:tbl>
      <w:tblPr>
        <w:tblStyle w:val="12"/>
        <w:tblW w:w="5012" w:type="pct"/>
        <w:tblLook w:val="04A0" w:firstRow="1" w:lastRow="0" w:firstColumn="1" w:lastColumn="0" w:noHBand="0" w:noVBand="1"/>
      </w:tblPr>
      <w:tblGrid>
        <w:gridCol w:w="5207"/>
        <w:gridCol w:w="4443"/>
      </w:tblGrid>
      <w:tr w:rsidR="0038232C" w:rsidRPr="0038232C" w:rsidTr="00B8468F">
        <w:tc>
          <w:tcPr>
            <w:tcW w:w="2698" w:type="pct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ind w:left="-426" w:firstLine="426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учреждения дополнительного образования детей</w:t>
            </w:r>
          </w:p>
        </w:tc>
        <w:tc>
          <w:tcPr>
            <w:tcW w:w="2302" w:type="pct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Направленность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образовательных программ</w:t>
            </w:r>
          </w:p>
        </w:tc>
      </w:tr>
      <w:tr w:rsidR="0038232C" w:rsidRPr="0038232C" w:rsidTr="00B8468F">
        <w:tc>
          <w:tcPr>
            <w:tcW w:w="2698" w:type="pct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Муниципальное бюджетное учреждение дополнительного образования «Детская школа искусств города Югорска»</w:t>
            </w:r>
          </w:p>
        </w:tc>
        <w:tc>
          <w:tcPr>
            <w:tcW w:w="2302" w:type="pct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Художественная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38232C" w:rsidRPr="0038232C" w:rsidTr="00B8468F">
        <w:tc>
          <w:tcPr>
            <w:tcW w:w="2698" w:type="pct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«Детско-юношеский центр «Прометей»</w:t>
            </w:r>
          </w:p>
        </w:tc>
        <w:tc>
          <w:tcPr>
            <w:tcW w:w="2302" w:type="pct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Техническая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Физкультурно-спортивная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Художественная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38232C" w:rsidRPr="0038232C" w:rsidTr="00B8468F">
        <w:tc>
          <w:tcPr>
            <w:tcW w:w="2698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Муниципальное автономное учреждение </w:t>
            </w: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«Молодежный центр «Гелиос»</w:t>
            </w:r>
          </w:p>
        </w:tc>
        <w:tc>
          <w:tcPr>
            <w:tcW w:w="2302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Техническая</w:t>
            </w:r>
          </w:p>
        </w:tc>
      </w:tr>
      <w:tr w:rsidR="0038232C" w:rsidRPr="0038232C" w:rsidTr="00B8468F">
        <w:tc>
          <w:tcPr>
            <w:tcW w:w="2698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бюджетное учреждение спортивная школа олимпийского резерва «Центр Югорского спорта»</w:t>
            </w:r>
          </w:p>
        </w:tc>
        <w:tc>
          <w:tcPr>
            <w:tcW w:w="2302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38232C" w:rsidRPr="0038232C" w:rsidTr="00B8468F">
        <w:tc>
          <w:tcPr>
            <w:tcW w:w="2698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Бюджетное учреждение профессионального </w:t>
            </w:r>
            <w:proofErr w:type="gramStart"/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образования  Ханты</w:t>
            </w:r>
            <w:proofErr w:type="gramEnd"/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-Мансийского автономного округа - Югры «Югорский политехнический колледж»</w:t>
            </w:r>
          </w:p>
        </w:tc>
        <w:tc>
          <w:tcPr>
            <w:tcW w:w="2302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Физкультурно-спортивная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Техническая</w:t>
            </w:r>
          </w:p>
        </w:tc>
      </w:tr>
      <w:tr w:rsidR="0038232C" w:rsidRPr="0038232C" w:rsidTr="00B8468F">
        <w:tc>
          <w:tcPr>
            <w:tcW w:w="2698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2302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Физкультурно-спортивная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Техническая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Естественно-научная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Художественная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38232C" w:rsidRPr="0038232C" w:rsidTr="00B8468F">
        <w:tc>
          <w:tcPr>
            <w:tcW w:w="2698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ООО «Академия» центр здоровья и развития»</w:t>
            </w:r>
          </w:p>
        </w:tc>
        <w:tc>
          <w:tcPr>
            <w:tcW w:w="2302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Художественная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38232C" w:rsidRPr="0038232C" w:rsidTr="00B8468F">
        <w:tc>
          <w:tcPr>
            <w:tcW w:w="2698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ИП Токарева О.А.</w:t>
            </w:r>
          </w:p>
        </w:tc>
        <w:tc>
          <w:tcPr>
            <w:tcW w:w="2302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Художественная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38232C" w:rsidRPr="0038232C" w:rsidTr="00B8468F">
        <w:tc>
          <w:tcPr>
            <w:tcW w:w="2698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ИП Моисеева В.В.</w:t>
            </w:r>
          </w:p>
        </w:tc>
        <w:tc>
          <w:tcPr>
            <w:tcW w:w="2302" w:type="pct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Художественная</w:t>
            </w:r>
          </w:p>
        </w:tc>
      </w:tr>
      <w:tr w:rsidR="0038232C" w:rsidRPr="0038232C" w:rsidTr="00B8468F">
        <w:tc>
          <w:tcPr>
            <w:tcW w:w="2698" w:type="pct"/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ИП Архипова К.И.</w:t>
            </w:r>
          </w:p>
        </w:tc>
        <w:tc>
          <w:tcPr>
            <w:tcW w:w="2302" w:type="pct"/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</w:rPr>
              <w:t>Художественная</w:t>
            </w:r>
          </w:p>
        </w:tc>
      </w:tr>
      <w:tr w:rsidR="0038232C" w:rsidRPr="0038232C" w:rsidTr="00B8468F">
        <w:tc>
          <w:tcPr>
            <w:tcW w:w="2698" w:type="pct"/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ООО «ЮСС»</w:t>
            </w:r>
          </w:p>
        </w:tc>
        <w:tc>
          <w:tcPr>
            <w:tcW w:w="2302" w:type="pct"/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Художественная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Социально-гуманитарная 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Физкультурно-спортивная 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Техническая</w:t>
            </w:r>
          </w:p>
        </w:tc>
      </w:tr>
      <w:tr w:rsidR="0038232C" w:rsidRPr="0038232C" w:rsidTr="00B8468F">
        <w:tc>
          <w:tcPr>
            <w:tcW w:w="2698" w:type="pct"/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АНО ДПО «ПУМА»</w:t>
            </w:r>
          </w:p>
        </w:tc>
        <w:tc>
          <w:tcPr>
            <w:tcW w:w="2302" w:type="pct"/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Естественнонаучная 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8232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Социально-гуманитарная</w:t>
            </w:r>
          </w:p>
        </w:tc>
      </w:tr>
    </w:tbl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8232C" w:rsidRPr="0038232C" w:rsidRDefault="0038232C" w:rsidP="0038232C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Chars="300" w:firstLine="84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Деятельность детского технопарка «Кванториум» направлена на реализацию программ естественнонаучной и технической направленности, в котором в 2021 году на постоянной основе занимались 568 детей. В нем реализуются пять дополнительных общеобразовательных программ технической направленности: Промробоквантум, IT-квантум, </w:t>
      </w:r>
      <w:proofErr w:type="spell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Энерждиквантум</w:t>
      </w:r>
      <w:proofErr w:type="spell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VR/AR-квантум, </w:t>
      </w:r>
      <w:proofErr w:type="spell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Промдизайнквантум</w:t>
      </w:r>
      <w:proofErr w:type="spell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Оборудован </w:t>
      </w:r>
      <w:proofErr w:type="spell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Хайтек</w:t>
      </w:r>
      <w:proofErr w:type="spell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цех, что позволяет детям в возрасте 10-17 лет осваивать передовые технологии в области электроники, 3D-моделирования и прототипирования. В </w:t>
      </w:r>
      <w:proofErr w:type="spell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квестах</w:t>
      </w:r>
      <w:proofErr w:type="spell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, тематических занятиях, игровых программах и мероприятиях, проводимых «</w:t>
      </w:r>
      <w:proofErr w:type="spell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Кванториумом</w:t>
      </w:r>
      <w:proofErr w:type="spell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» приняли участие 2 246 школьников и дошкольников.</w:t>
      </w:r>
    </w:p>
    <w:p w:rsidR="0038232C" w:rsidRPr="0038232C" w:rsidRDefault="0038232C" w:rsidP="0038232C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Chars="300" w:firstLine="840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течение 2021 года ДЮЦ «Прометей» проведено 54 городских мероприятия, в том числе 24 мероприятия технической направленности с общим охватом 5 902 человека. </w:t>
      </w:r>
    </w:p>
    <w:p w:rsidR="0038232C" w:rsidRPr="0038232C" w:rsidRDefault="0038232C" w:rsidP="00E01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рамках сетевого взаимодействия ДЮЦ «Прометей» с МБОУ «СОШ №5» и МБОУ «СОШ №6» были реализованы 4 дополнительные общеобразовательные программы технической направленности по робототехнике, IT-технологиям, технологиям виртуальной и дополненной реальности, по реализации модулей предметной области «Технология» и альтернативной энергетике с общим охватом - 92 ребенка. </w:t>
      </w:r>
    </w:p>
    <w:p w:rsidR="0038232C" w:rsidRPr="0038232C" w:rsidRDefault="0038232C" w:rsidP="00E01B0B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 образовательных учреждениях реализуются современные подходы к воспитанию, профилактике экстремизма в школьной среде. В каждом образовательном учреждении создана система воспитательной работы с учетом своих традиций. В центре патриотического воспитания «Доблесть», созданного на базе МБОУ «СОШ № 2», реализуются дополнительные общеразвивающие программы, направленные на патриотическое воспитание детей и молодежи, активно развивается движение «</w:t>
      </w:r>
      <w:proofErr w:type="spell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Юнармия</w:t>
      </w:r>
      <w:proofErr w:type="spell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создан штаб местного отделения. Охват детей программами дополнительного образования в рамках деятельности центра патриотического воспитания «Доблесть» составил 395 человек (в 2020 году – 308 детей).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Внедрены краткосрочные дополнительные общеразвивающие программы в образовательных учреждениях, обеспечивающих отдых и оздоровление детей в каникулярное время, в форме профильных смен с воспитательным компонентом: «Вернисаж профессий» (МБОУ «СОШ       № 5»), «Калейдоскоп времён «Под славным знаменем Петра» (МБОУ «СОШ № 6»), «</w:t>
      </w:r>
      <w:proofErr w:type="spell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Финстарт</w:t>
      </w:r>
      <w:proofErr w:type="spell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» и «TV-Лицей» (МБОУ «Лицей им. Г.Ф. Атякшева»), «Лаборатория юного эколога», (МБОУ «СОШ № 2»), «</w:t>
      </w:r>
      <w:proofErr w:type="spellStart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Профсити</w:t>
      </w:r>
      <w:proofErr w:type="spellEnd"/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» МБУ ДО «ДЮЦ «Прометей», МБОУ «Гимназия»). Зачисление воспитанников на программу проводится через автоматизированную информационную систему персонифицированного дополнительного образования (АИС ПДО).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Созданы условия для повышения уровня творческих и интеллектуальных достижений учащихся посредством проведения конкурсов различной направленности, финансирования участия в конкурсных мероприятиях за пределами муниципалитета. Доля учащихся - победителей и призеров интеллектуальных, творческих конкурсов всех уровней от их общего количества в учреждениях дополнительного образования составляет 59,3 процента (2020 – 59,1 процентов, 2019 – 58,6 процента).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Кадровое, материально-техническое и информационное обеспечение образовательных организаций, осуществляющих образовательную деятельность в части реализации дополнительных общеобразовательных программ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 составляет 14 процентов. Удельный вес численности педагогов дополнительного образования в возрасте моложе 35 лет в общей численности педагогов дополнительного образования составил 21,4 процентов. В образовательных учреждениях созданы оптимальные материально-технические, кадровые, учебно-методические условия, которые позволяют повысить качество образовательных услуг.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Изменений числа образовательных организаций дополнительного образования в 2021году нет.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</w:r>
    </w:p>
    <w:p w:rsidR="0038232C" w:rsidRPr="0038232C" w:rsidRDefault="0038232C" w:rsidP="0038232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Во всех образовательных организациях имеются пожарные краны и рукава, дымовые извещатели. Образовательных организаций, здания которых находятся в аварийном состоянии и требуют капитального ремонта, нет.</w:t>
      </w:r>
    </w:p>
    <w:p w:rsidR="0038232C" w:rsidRPr="0038232C" w:rsidRDefault="0038232C" w:rsidP="0038232C">
      <w:pPr>
        <w:suppressAutoHyphens/>
        <w:spacing w:after="0" w:line="240" w:lineRule="auto"/>
        <w:ind w:firstLine="708"/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</w:pPr>
      <w:r w:rsidRPr="0038232C">
        <w:rPr>
          <w:rFonts w:ascii="PT Astra Serif" w:eastAsia="Times New Roman" w:hAnsi="PT Astra Serif" w:cs="Times New Roman"/>
          <w:b/>
          <w:sz w:val="28"/>
          <w:szCs w:val="28"/>
          <w:lang w:eastAsia="ar-SA"/>
        </w:rPr>
        <w:t>Выводы и заключения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Подводя итоги работы в 2021 году, можно заключить, что муниципальная система образования функционирует стабильно, обеспечивается ее инновационное развитие с учетом внутренних и внешних факторов.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системе образования города Югорска: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 сформирована оптимальная сеть образовательных учреждений;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реализуется Сертификат дошкольника, обеспечивающий равный доступ негосударственных организаций к бюджетному финансированию;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сохранена доступность дошкольного образования для детей от 2-х месяцев до 7-ми лет на уровне 100 %;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созданы условия для реализации федеральных государственных образовательных стандартов, в том числе для детей с ОВЗ и с умственной отсталостью (интеллектуальными нарушениями);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педагогические кадры имеют высокий образовательный уровень и уровень квалификации, опыт работы;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в учебно-воспитательном процессе активно используются цифровые образовательные платформы;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внедрена и реализуется система персонифицированного финансирования дополнительного образования детей (Сертификат дополнительного образования);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увеличен охват детей программами дополнительного образования естественнонаучной и технической направленности;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обеспечиваются безопасные условия пребывания обучающихся и педагогов в образовательных учреждениях;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обеспечены открытость и доступность информации о деятельности образовательных учреждений.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Наряду с положительными результатами имеется проблема по созданию новых учебных мест для перехода в односменный режим работы общеобразовательных учреждений.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Приоритетные направления развития муниципальной системы образования в 2021 году базируются на решении задач региональных проектов по реализации национального проекта «Образование», а именно: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внедрение новых методов обучения и воспитания, современных образовательных технологий, обновление содержания и совершенствование методов обучения в рамках реализация федеральных проектов «Современная школа», «Успех каждого ребенка»;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развитие информационно - технологической инфраструктуры техносферы школ, позволяющей ученику, учителю, администрации и родителям использовать современные цифровые инструменты, сервисы и ресурсы в рамках реализация федерального проекта «Цифровая образовательная среда»;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профессиональное развитие педагогических коллективов, профессионального уровня педагогических работников;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реализация мероприятий, направленных на создание новых мест в муниципальных общеобразовательных учреждениях города Югорска в соответствии с прогнозируемой потребностью и современными условиями обучения с целью ликвидации второй смены; 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8232C">
        <w:rPr>
          <w:rFonts w:ascii="PT Astra Serif" w:eastAsia="Times New Roman" w:hAnsi="PT Astra Serif" w:cs="Times New Roman"/>
          <w:sz w:val="28"/>
          <w:szCs w:val="28"/>
          <w:lang w:eastAsia="ru-RU"/>
        </w:rPr>
        <w:t>- повышение психолого-педагогической компетентности родителей обучающихся через реализацию программ родительского просвещения.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382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Показатели мониторинга системы образования</w:t>
      </w:r>
    </w:p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54" w:type="dxa"/>
        <w:jc w:val="center"/>
        <w:tblLayout w:type="fixed"/>
        <w:tblLook w:val="04A0" w:firstRow="1" w:lastRow="0" w:firstColumn="1" w:lastColumn="0" w:noHBand="0" w:noVBand="1"/>
      </w:tblPr>
      <w:tblGrid>
        <w:gridCol w:w="7013"/>
        <w:gridCol w:w="1843"/>
        <w:gridCol w:w="1598"/>
      </w:tblGrid>
      <w:tr w:rsidR="0038232C" w:rsidRPr="0038232C" w:rsidTr="00B8468F">
        <w:trPr>
          <w:trHeight w:val="255"/>
          <w:tblHeader/>
          <w:jc w:val="center"/>
        </w:trPr>
        <w:tc>
          <w:tcPr>
            <w:tcW w:w="7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Раздел/подраздел/показатель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Единица измерения/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форма оценки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I. Общее образование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 Сведения о развитии дошкольного образования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38232C" w:rsidRPr="0038232C" w:rsidTr="00B8468F">
        <w:trPr>
          <w:trHeight w:val="153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1.1.1. 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(или)получающих присмотри уход (контингент воспитанников), к сумме указанной численности и численности детей соответствующей возрастной группы, нуждающихся в получении  дошкольного образования и (или) присмотра и ухода, в целях направления детей 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детьми):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возрасте от 3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102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(в возрасте от 2 месяцев до 7 лет);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возрасте от 2 месяцев до 3 лет;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возрасте от 3 до 7 лет.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8232C" w:rsidRPr="0038232C" w:rsidTr="00B8468F">
        <w:trPr>
          <w:trHeight w:val="255"/>
          <w:jc w:val="center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семейные дошкольные группы.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8232C" w:rsidRPr="0038232C" w:rsidTr="00B8468F">
        <w:trPr>
          <w:trHeight w:val="25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режиме кратковременного пребывания;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режиме круглосуточного пребывания.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по присмотру и уходу за детьми;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38232C" w:rsidRPr="0038232C" w:rsidTr="00B8468F">
        <w:trPr>
          <w:trHeight w:val="106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38232C" w:rsidRPr="0038232C" w:rsidTr="00B8468F">
        <w:trPr>
          <w:trHeight w:val="257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воспитатели;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76,3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старшие воспитатели;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музыкальные руководители;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инструкторы по физической культуре;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социальные педагоги;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70"/>
          <w:jc w:val="center"/>
        </w:trPr>
        <w:tc>
          <w:tcPr>
            <w:tcW w:w="70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педагоги-организаторы;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 дополнительного образования.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326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8,86</w:t>
            </w:r>
          </w:p>
        </w:tc>
      </w:tr>
      <w:tr w:rsidR="0038232C" w:rsidRPr="0038232C" w:rsidTr="00B8468F">
        <w:trPr>
          <w:trHeight w:val="14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8232C" w:rsidRPr="0038232C" w:rsidTr="00B8468F">
        <w:trPr>
          <w:trHeight w:val="72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8232C" w:rsidRPr="0038232C" w:rsidTr="00B8468F">
        <w:trPr>
          <w:trHeight w:val="293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1.5.3. Структура численности детей с ограниченными возможностями здоровья (за исключением детей- 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групп: &lt;*&gt;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Федерация, субъекты Российской Федерации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 сложным дефектом;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другого профиля;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туберкулезной интоксикацией;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часто болеющих;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148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</w:t>
            </w:r>
            <w:proofErr w:type="gramStart"/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групп:  &lt;</w:t>
            </w:r>
            <w:proofErr w:type="gramEnd"/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*&gt;</w:t>
            </w:r>
          </w:p>
        </w:tc>
        <w:tc>
          <w:tcPr>
            <w:tcW w:w="3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Федерация, субъекты Российской Федерации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нарушениями слуха;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нарушениями речи;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нарушениями зрения;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умственной отсталостью (интеллектуальными нарушениями);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 сложным дефектом;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другого профиля;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туберкулезной интоксикацией;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часто болеющих;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255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1.7.1. Изменение числа </w:t>
            </w: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8232C" w:rsidRPr="0038232C" w:rsidTr="00B8468F">
        <w:trPr>
          <w:trHeight w:val="18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18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обособленные подразделения (филиалы) дошкольных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18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обособленные подразделения (филиалы) дошкольных общеобразовательных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18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18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18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255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38232C" w:rsidRPr="0038232C" w:rsidTr="00B8468F">
        <w:trPr>
          <w:trHeight w:val="358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тысяча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57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38232C" w:rsidRPr="0038232C" w:rsidTr="00B8468F">
        <w:trPr>
          <w:trHeight w:val="149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38232C" w:rsidRPr="0038232C" w:rsidTr="00B8468F">
        <w:trPr>
          <w:trHeight w:val="92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8232C" w:rsidRPr="0038232C" w:rsidTr="00B8468F">
        <w:trPr>
          <w:trHeight w:val="7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начальное общее образование (1 - 4 классы);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основное общее образование (5 - 9 классы);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среднее общее образование (10 - 11 (12) классы).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38232C" w:rsidRPr="0038232C" w:rsidTr="00B8468F">
        <w:trPr>
          <w:trHeight w:val="25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46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&lt;*&gt;&lt;**&gt;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</w:t>
            </w:r>
            <w:proofErr w:type="gramStart"/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среднего общего образования</w:t>
            </w:r>
            <w:proofErr w:type="gramEnd"/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и образования обучающихся с умственной отсталостью (интеллектуальными нарушениями)</w:t>
            </w:r>
          </w:p>
        </w:tc>
      </w:tr>
      <w:tr w:rsidR="0038232C" w:rsidRPr="0038232C" w:rsidTr="00B8468F">
        <w:trPr>
          <w:trHeight w:val="108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обучения:</w:t>
            </w: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23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0,02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23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2.2.5 Доля несовершеннолетних, состоящих на различных видах учета,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0,04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 в расчете на одного педагогического работника: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20,4</w:t>
            </w:r>
          </w:p>
        </w:tc>
      </w:tr>
      <w:tr w:rsidR="0038232C" w:rsidRPr="0038232C" w:rsidTr="00B8468F">
        <w:trPr>
          <w:trHeight w:val="102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700"/>
          <w:jc w:val="center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38232C" w:rsidRPr="0038232C" w:rsidTr="00B8468F">
        <w:trPr>
          <w:trHeight w:val="171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социальных педагогов: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педагогов-психологов: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учителей-логопедов: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учителей-дефектологов: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 в штате.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квадратный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организаций:</w:t>
            </w: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6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имеющих доступ к сети «Интернет»: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8232C" w:rsidRPr="0038232C" w:rsidTr="00B8468F">
        <w:trPr>
          <w:trHeight w:val="127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2.4.4. Доля образовательных организаций, реализующих программы общего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46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38232C" w:rsidRPr="0038232C" w:rsidTr="00B8468F">
        <w:trPr>
          <w:trHeight w:val="282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38232C" w:rsidRPr="0038232C" w:rsidTr="00B8468F">
        <w:trPr>
          <w:trHeight w:val="46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 инвалидов, детей-инвалидов;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268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 инвалидов, детей-инвалидов;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формате совместного обучения (инклюзии) - всего;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 них инвалидов, детей-инвалидов.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102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 &lt;*&gt;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Федерация, субъекты Российской Федерации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25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7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социальные педагоги;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тьюторы.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учителя-дефектолога;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8232C" w:rsidRPr="0038232C" w:rsidTr="00B8468F">
        <w:trPr>
          <w:trHeight w:val="78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учителя-логопеда;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highlight w:val="yellow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педагога-психолога;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13,7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тьютора, ассистента (помощника).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Федерация, субъекты Российской Федерации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для глухих;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для слабослышащих и позднооглохших;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для слепых;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для слабовидящих;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тяжелыми нарушениями речи;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 расстройствами аутистического спектра;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 сложными дефектами;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других обучающихся с ограниченными возможностями здоровья.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38232C" w:rsidRPr="0038232C" w:rsidTr="00B8468F">
        <w:trPr>
          <w:trHeight w:val="46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2.6.3. Удельный вес числа организаций, имеющих спортивные залы, в общем числе общеобразовательных организаций.</w:t>
            </w: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6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8232C" w:rsidRPr="0038232C" w:rsidTr="00B8468F">
        <w:trPr>
          <w:trHeight w:val="71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38232C" w:rsidRPr="0038232C" w:rsidTr="00B8468F">
        <w:trPr>
          <w:trHeight w:val="9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тысяча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219,58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38232C" w:rsidRPr="0038232C" w:rsidTr="00B8468F">
        <w:trPr>
          <w:trHeight w:val="208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2.9.1. Удельный вес числа зданий и помещений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206"/>
          <w:jc w:val="center"/>
        </w:trPr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2.9.2. Удельный вес числа зданий и помещений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2.9.3. Удельный вес числа зданий и помещений общеобразовательных организаций, требующих капитального ремонта, в общем числе зданий общеобразовательных организаций: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II</w:t>
            </w: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Профессиональное образование 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8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4.1.1. Доля </w:t>
            </w:r>
            <w:proofErr w:type="gramStart"/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детей  в</w:t>
            </w:r>
            <w:proofErr w:type="gramEnd"/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возрасте от 5 до 18 лет охваченными услугами  дополнительного образования&lt;*&gt;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Федерация, субъекты Российской Федерации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4.1.2. Структура численности детей, обучающихся по дополнительным общеобразовательным программам, по направлениям: &lt;*&gt;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Федерация, субъекты Российской Федерации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техническое;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естественнонаучное;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туристско-краеведческое;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социально-педагогическое;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области искусств: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общеразвивающим программам;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предпрофессиональным программам;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области физической культуры и спорта: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общеразвивающим программам;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 предпрофессиональным программам.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40,5</w:t>
            </w:r>
          </w:p>
        </w:tc>
      </w:tr>
      <w:tr w:rsidR="0038232C" w:rsidRPr="0038232C" w:rsidTr="00B8468F">
        <w:trPr>
          <w:trHeight w:val="255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4.2. Содержание образовательной деятельности и организация образовательного процесса по 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дополнительным общеобразовательным программам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программам. &lt;*&gt;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Федерация, субъекты Российской Федерации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программам&lt;*&gt;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Федерация, субъекты Российской Федерации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программам&lt;*&gt;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Характеристика разреза наблюдения - Российская Федерация, субъекты Российской Федерации</w:t>
            </w:r>
          </w:p>
        </w:tc>
      </w:tr>
      <w:tr w:rsidR="0038232C" w:rsidRPr="0038232C" w:rsidTr="00B8468F">
        <w:trPr>
          <w:trHeight w:val="51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4.3. Кадровое обеспечение организаций, осуществляющих образовательную деятельность в части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реализации дополнительных общеобразовательных программ</w:t>
            </w:r>
          </w:p>
        </w:tc>
      </w:tr>
      <w:tr w:rsidR="0038232C" w:rsidRPr="0038232C" w:rsidTr="00B8468F">
        <w:trPr>
          <w:trHeight w:val="198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дополнительным общеобразовательным программам: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8232C" w:rsidRPr="0038232C" w:rsidTr="00B8468F">
        <w:trPr>
          <w:trHeight w:val="60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внешние совместители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38232C" w:rsidRPr="0038232C" w:rsidTr="00B8468F">
        <w:trPr>
          <w:trHeight w:val="765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4.4 Материально-техническое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4.4.1 Общая площадь всех помещений организаций, осуществляющих образовательную деятельность по дополнительным общеобразовательным программам в расчете на одного обучающегося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квадратный метр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4.4.2 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водопровод;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канализацию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пожарную сигнализацию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дымовые извещатели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пожарные краны и рукава;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системы видеонаблюдения;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«тревожную кнопку»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4.4.3. Число персональных компьютеров, используемых в учебных целях, в расчете на 100 обучающихся организаций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14,3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имеющих доступ к информационно-телекоммуникационной сети «Интернет»;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4.5. Изменение сети организаций, организаций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4.5.1. Темп роста числа организаций (филиалов)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4.6. Финансово-экономическая деятельность организаций осуществляющих образовательную деятельность по дополнительным общеобразовательным программам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4.6.1. 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тысяча рублей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6,5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4.6.2. Удельный вес финансовых средств </w:t>
            </w: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 приносящей доход деятельности в общем объеме финансовых средств организаций, </w:t>
            </w: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4.6.3. Удельный вес источников финансирования дополнительных общеобразовательных программ: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 федерального бюджета, бюджета субъекта Российской Федерации и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средства, поступившие от иной приносящей доход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4.7. Структура организаций, осуществляющих образовательную деятельность по дополнительным общеобразовательным программам (в том числе характеристика их филиалов)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4.7.1. Удельный вес числа организаций, осуществляющих образовательную деятельность по дополнительным общеобразовательным программам, имеющих филиалы, в общем числе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программам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ремонта, в общем числе организаций,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104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4.9. Учебные и внеучебные достижения лиц, обучающихся по программам дополнительного образования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8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4.9.1. Результаты занятий детей в организациях, осуществляющих образовательную деятельность по дополнительным общеобразовательным программам (удельный вес родителей детей, обучающихся в организациях, осуществляющих образовательную деятельность по дополнительным общеобразовательным </w:t>
            </w:r>
            <w:proofErr w:type="gramStart"/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программам ,</w:t>
            </w:r>
            <w:proofErr w:type="gramEnd"/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&lt;**&gt;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Сбор данных начинается с итогов за 2022 год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приобретение актуальных знаний, умений, практических навыков обучающимися;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выявление и развитие таланта и способностей, обучающихся;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профессиональная ориентация, освоение значимых для профессиональной деятельности навыков обучающимися;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улучшение знаний в рамках основной общеобразовательной программы обучающихся.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highlight w:val="darkCyan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Профессиональное обучение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 w:eastAsia="ru-RU"/>
              </w:rPr>
              <w:t>V</w:t>
            </w: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Дополнительная информация о системе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6. Сведения об интеграции образования и науки, а также образования и сферы труда </w:t>
            </w: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&lt;***&gt;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Сфера деятельности Министерства просвещения Российской Федерации</w:t>
            </w:r>
          </w:p>
        </w:tc>
      </w:tr>
      <w:tr w:rsidR="0038232C" w:rsidRPr="0038232C" w:rsidTr="00B8468F">
        <w:trPr>
          <w:trHeight w:val="54"/>
          <w:jc w:val="center"/>
        </w:trPr>
        <w:tc>
          <w:tcPr>
            <w:tcW w:w="7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7. Сведения об интеграции российского образования с мировым образовательным пространством</w:t>
            </w:r>
          </w:p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8232C" w:rsidRPr="0038232C" w:rsidRDefault="0038232C" w:rsidP="0038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32C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Сфера деятельности Министерства просвещения Российской Федерации</w:t>
            </w:r>
          </w:p>
        </w:tc>
      </w:tr>
    </w:tbl>
    <w:p w:rsidR="0038232C" w:rsidRPr="0038232C" w:rsidRDefault="0038232C" w:rsidP="00382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8232C" w:rsidRPr="00417F4A" w:rsidRDefault="0038232C" w:rsidP="00417F4A">
      <w:pPr>
        <w:spacing w:after="0" w:line="240" w:lineRule="auto"/>
        <w:contextualSpacing/>
        <w:rPr>
          <w:rFonts w:ascii="PT Astra Serif" w:hAnsi="PT Astra Serif" w:cs="Times New Roman"/>
          <w:sz w:val="20"/>
          <w:szCs w:val="20"/>
        </w:rPr>
      </w:pPr>
    </w:p>
    <w:sectPr w:rsidR="0038232C" w:rsidRPr="00417F4A" w:rsidSect="00F8737E">
      <w:headerReference w:type="defaul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6C6" w:rsidRDefault="00D666C6" w:rsidP="002275B7">
      <w:pPr>
        <w:spacing w:after="0" w:line="240" w:lineRule="auto"/>
      </w:pPr>
      <w:r>
        <w:separator/>
      </w:r>
    </w:p>
  </w:endnote>
  <w:endnote w:type="continuationSeparator" w:id="0">
    <w:p w:rsidR="00D666C6" w:rsidRDefault="00D666C6" w:rsidP="0022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6C6" w:rsidRDefault="00D666C6" w:rsidP="002275B7">
      <w:pPr>
        <w:spacing w:after="0" w:line="240" w:lineRule="auto"/>
      </w:pPr>
      <w:r>
        <w:separator/>
      </w:r>
    </w:p>
  </w:footnote>
  <w:footnote w:type="continuationSeparator" w:id="0">
    <w:p w:rsidR="00D666C6" w:rsidRDefault="00D666C6" w:rsidP="0022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425844"/>
      <w:docPartObj>
        <w:docPartGallery w:val="Page Numbers (Top of Page)"/>
        <w:docPartUnique/>
      </w:docPartObj>
    </w:sdtPr>
    <w:sdtEndPr/>
    <w:sdtContent>
      <w:p w:rsidR="00B8468F" w:rsidRDefault="00B8468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527">
          <w:rPr>
            <w:noProof/>
          </w:rPr>
          <w:t>2</w:t>
        </w:r>
        <w:r>
          <w:fldChar w:fldCharType="end"/>
        </w:r>
      </w:p>
    </w:sdtContent>
  </w:sdt>
  <w:p w:rsidR="00B8468F" w:rsidRDefault="00B8468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bCs w:val="0"/>
        <w:color w:val="000000"/>
        <w:sz w:val="24"/>
        <w:szCs w:val="24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F3033"/>
    <w:multiLevelType w:val="hybridMultilevel"/>
    <w:tmpl w:val="C79A0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722D"/>
    <w:multiLevelType w:val="multilevel"/>
    <w:tmpl w:val="E93E8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E674F4"/>
    <w:multiLevelType w:val="hybridMultilevel"/>
    <w:tmpl w:val="55087F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279A1"/>
    <w:multiLevelType w:val="multilevel"/>
    <w:tmpl w:val="F64E9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E12F78"/>
    <w:multiLevelType w:val="hybridMultilevel"/>
    <w:tmpl w:val="55087F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25491"/>
    <w:multiLevelType w:val="multilevel"/>
    <w:tmpl w:val="EC9492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8F2D5F"/>
    <w:multiLevelType w:val="hybridMultilevel"/>
    <w:tmpl w:val="67B2A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711D9D"/>
    <w:multiLevelType w:val="hybridMultilevel"/>
    <w:tmpl w:val="73282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C431AB"/>
    <w:multiLevelType w:val="hybridMultilevel"/>
    <w:tmpl w:val="322872E4"/>
    <w:lvl w:ilvl="0" w:tplc="5F76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B307EEA"/>
    <w:multiLevelType w:val="hybridMultilevel"/>
    <w:tmpl w:val="57581F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AC630E"/>
    <w:multiLevelType w:val="hybridMultilevel"/>
    <w:tmpl w:val="847C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A6DF2"/>
    <w:multiLevelType w:val="hybridMultilevel"/>
    <w:tmpl w:val="38489214"/>
    <w:lvl w:ilvl="0" w:tplc="C0368FBA">
      <w:start w:val="1"/>
      <w:numFmt w:val="decimal"/>
      <w:lvlText w:val="%1)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C802AE"/>
    <w:multiLevelType w:val="hybridMultilevel"/>
    <w:tmpl w:val="D780E7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B856E9A"/>
    <w:multiLevelType w:val="multilevel"/>
    <w:tmpl w:val="9BBC23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C594779"/>
    <w:multiLevelType w:val="hybridMultilevel"/>
    <w:tmpl w:val="55087F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D2BB1"/>
    <w:multiLevelType w:val="hybridMultilevel"/>
    <w:tmpl w:val="717E6EB6"/>
    <w:lvl w:ilvl="0" w:tplc="2154E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330DDB"/>
    <w:multiLevelType w:val="multilevel"/>
    <w:tmpl w:val="92347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2" w15:restartNumberingAfterBreak="0">
    <w:nsid w:val="50F87974"/>
    <w:multiLevelType w:val="hybridMultilevel"/>
    <w:tmpl w:val="55087F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4B4FCD"/>
    <w:multiLevelType w:val="hybridMultilevel"/>
    <w:tmpl w:val="540264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7200B"/>
    <w:multiLevelType w:val="hybridMultilevel"/>
    <w:tmpl w:val="A9189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53A0F"/>
    <w:multiLevelType w:val="hybridMultilevel"/>
    <w:tmpl w:val="F67CA468"/>
    <w:lvl w:ilvl="0" w:tplc="106EA8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1854E4"/>
    <w:multiLevelType w:val="hybridMultilevel"/>
    <w:tmpl w:val="55087F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6823011"/>
    <w:multiLevelType w:val="multilevel"/>
    <w:tmpl w:val="59A0CB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 w15:restartNumberingAfterBreak="0">
    <w:nsid w:val="7A0D1E30"/>
    <w:multiLevelType w:val="hybridMultilevel"/>
    <w:tmpl w:val="42B0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379"/>
    <w:multiLevelType w:val="multilevel"/>
    <w:tmpl w:val="B35C5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2"/>
  </w:num>
  <w:num w:numId="4">
    <w:abstractNumId w:val="5"/>
  </w:num>
  <w:num w:numId="5">
    <w:abstractNumId w:val="19"/>
  </w:num>
  <w:num w:numId="6">
    <w:abstractNumId w:val="26"/>
  </w:num>
  <w:num w:numId="7">
    <w:abstractNumId w:val="7"/>
  </w:num>
  <w:num w:numId="8">
    <w:abstractNumId w:val="28"/>
  </w:num>
  <w:num w:numId="9">
    <w:abstractNumId w:val="23"/>
  </w:num>
  <w:num w:numId="10">
    <w:abstractNumId w:val="4"/>
  </w:num>
  <w:num w:numId="11">
    <w:abstractNumId w:val="30"/>
  </w:num>
  <w:num w:numId="12">
    <w:abstractNumId w:val="6"/>
  </w:num>
  <w:num w:numId="13">
    <w:abstractNumId w:val="25"/>
  </w:num>
  <w:num w:numId="14">
    <w:abstractNumId w:val="21"/>
  </w:num>
  <w:num w:numId="15">
    <w:abstractNumId w:val="24"/>
  </w:num>
  <w:num w:numId="16">
    <w:abstractNumId w:val="29"/>
  </w:num>
  <w:num w:numId="17">
    <w:abstractNumId w:val="11"/>
  </w:num>
  <w:num w:numId="18">
    <w:abstractNumId w:val="8"/>
  </w:num>
  <w:num w:numId="19">
    <w:abstractNumId w:val="18"/>
  </w:num>
  <w:num w:numId="20">
    <w:abstractNumId w:val="20"/>
  </w:num>
  <w:num w:numId="21">
    <w:abstractNumId w:val="1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13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D4"/>
    <w:rsid w:val="000018AD"/>
    <w:rsid w:val="00001D11"/>
    <w:rsid w:val="00001E4B"/>
    <w:rsid w:val="0000513B"/>
    <w:rsid w:val="000109ED"/>
    <w:rsid w:val="00011614"/>
    <w:rsid w:val="00014D17"/>
    <w:rsid w:val="00031C01"/>
    <w:rsid w:val="00032EDD"/>
    <w:rsid w:val="00040BCB"/>
    <w:rsid w:val="00042151"/>
    <w:rsid w:val="000428C4"/>
    <w:rsid w:val="00053E45"/>
    <w:rsid w:val="00062A5A"/>
    <w:rsid w:val="00064D08"/>
    <w:rsid w:val="00071A56"/>
    <w:rsid w:val="0007204F"/>
    <w:rsid w:val="0007254A"/>
    <w:rsid w:val="000759C0"/>
    <w:rsid w:val="00081A64"/>
    <w:rsid w:val="0008312B"/>
    <w:rsid w:val="0008671F"/>
    <w:rsid w:val="000958C1"/>
    <w:rsid w:val="000A1CC9"/>
    <w:rsid w:val="000A329C"/>
    <w:rsid w:val="000B1AA7"/>
    <w:rsid w:val="000B2BBB"/>
    <w:rsid w:val="000C503E"/>
    <w:rsid w:val="000C6B63"/>
    <w:rsid w:val="000D0E64"/>
    <w:rsid w:val="000E3B15"/>
    <w:rsid w:val="000E6365"/>
    <w:rsid w:val="000E79B4"/>
    <w:rsid w:val="000F45FB"/>
    <w:rsid w:val="000F6AF7"/>
    <w:rsid w:val="00101353"/>
    <w:rsid w:val="0010673A"/>
    <w:rsid w:val="00106C17"/>
    <w:rsid w:val="00113A39"/>
    <w:rsid w:val="001205D2"/>
    <w:rsid w:val="00121ED3"/>
    <w:rsid w:val="00133B01"/>
    <w:rsid w:val="0013445A"/>
    <w:rsid w:val="00135FD2"/>
    <w:rsid w:val="00136437"/>
    <w:rsid w:val="0013652C"/>
    <w:rsid w:val="001458BF"/>
    <w:rsid w:val="00146FA9"/>
    <w:rsid w:val="00151A30"/>
    <w:rsid w:val="00152196"/>
    <w:rsid w:val="001529B9"/>
    <w:rsid w:val="00153784"/>
    <w:rsid w:val="00157ED0"/>
    <w:rsid w:val="00162628"/>
    <w:rsid w:val="00167B30"/>
    <w:rsid w:val="001716F4"/>
    <w:rsid w:val="00173212"/>
    <w:rsid w:val="00176019"/>
    <w:rsid w:val="00183862"/>
    <w:rsid w:val="001870B5"/>
    <w:rsid w:val="001A08B9"/>
    <w:rsid w:val="001A0EC4"/>
    <w:rsid w:val="001A3398"/>
    <w:rsid w:val="001A3BC8"/>
    <w:rsid w:val="001A61B7"/>
    <w:rsid w:val="001B4107"/>
    <w:rsid w:val="001B5D28"/>
    <w:rsid w:val="001B6D44"/>
    <w:rsid w:val="001B792E"/>
    <w:rsid w:val="001C3478"/>
    <w:rsid w:val="001D1DCD"/>
    <w:rsid w:val="001D2E72"/>
    <w:rsid w:val="001E072B"/>
    <w:rsid w:val="001E2E1C"/>
    <w:rsid w:val="001E493B"/>
    <w:rsid w:val="001E62C4"/>
    <w:rsid w:val="001E7968"/>
    <w:rsid w:val="001F3FB6"/>
    <w:rsid w:val="001F45D0"/>
    <w:rsid w:val="0020263D"/>
    <w:rsid w:val="00206D9F"/>
    <w:rsid w:val="00211A23"/>
    <w:rsid w:val="00211E6B"/>
    <w:rsid w:val="00222337"/>
    <w:rsid w:val="00223AF2"/>
    <w:rsid w:val="002275B7"/>
    <w:rsid w:val="00231527"/>
    <w:rsid w:val="00234F61"/>
    <w:rsid w:val="00241F29"/>
    <w:rsid w:val="002425E1"/>
    <w:rsid w:val="00246843"/>
    <w:rsid w:val="002519D0"/>
    <w:rsid w:val="00256A29"/>
    <w:rsid w:val="00260D7E"/>
    <w:rsid w:val="002622F7"/>
    <w:rsid w:val="002663A1"/>
    <w:rsid w:val="00272643"/>
    <w:rsid w:val="002818BF"/>
    <w:rsid w:val="00284565"/>
    <w:rsid w:val="00284D6B"/>
    <w:rsid w:val="00287A29"/>
    <w:rsid w:val="00296E33"/>
    <w:rsid w:val="00297334"/>
    <w:rsid w:val="002A5537"/>
    <w:rsid w:val="002A57E6"/>
    <w:rsid w:val="002A6BB8"/>
    <w:rsid w:val="002C6310"/>
    <w:rsid w:val="002D1483"/>
    <w:rsid w:val="002E0FCF"/>
    <w:rsid w:val="002E1CC8"/>
    <w:rsid w:val="002E3C39"/>
    <w:rsid w:val="002E6A9A"/>
    <w:rsid w:val="00303EEE"/>
    <w:rsid w:val="00307850"/>
    <w:rsid w:val="0031308D"/>
    <w:rsid w:val="003202BD"/>
    <w:rsid w:val="00334E9A"/>
    <w:rsid w:val="00337C78"/>
    <w:rsid w:val="003444DC"/>
    <w:rsid w:val="00352CB4"/>
    <w:rsid w:val="00356E7C"/>
    <w:rsid w:val="0036124D"/>
    <w:rsid w:val="00374CF3"/>
    <w:rsid w:val="0038232C"/>
    <w:rsid w:val="00382C5A"/>
    <w:rsid w:val="00386C95"/>
    <w:rsid w:val="00393508"/>
    <w:rsid w:val="0039477F"/>
    <w:rsid w:val="003A204C"/>
    <w:rsid w:val="003A4287"/>
    <w:rsid w:val="003A4EA6"/>
    <w:rsid w:val="003B03AA"/>
    <w:rsid w:val="003B48D4"/>
    <w:rsid w:val="003C6CE0"/>
    <w:rsid w:val="003C6EF4"/>
    <w:rsid w:val="003D0F15"/>
    <w:rsid w:val="003E1283"/>
    <w:rsid w:val="003E5380"/>
    <w:rsid w:val="003E7AD7"/>
    <w:rsid w:val="003F31BF"/>
    <w:rsid w:val="004004CA"/>
    <w:rsid w:val="00401684"/>
    <w:rsid w:val="0040180F"/>
    <w:rsid w:val="00402261"/>
    <w:rsid w:val="004068D2"/>
    <w:rsid w:val="00406ADE"/>
    <w:rsid w:val="00415B5D"/>
    <w:rsid w:val="00416D11"/>
    <w:rsid w:val="00417F4A"/>
    <w:rsid w:val="00417F4C"/>
    <w:rsid w:val="00423A3E"/>
    <w:rsid w:val="004243E9"/>
    <w:rsid w:val="004256CB"/>
    <w:rsid w:val="00436412"/>
    <w:rsid w:val="00436779"/>
    <w:rsid w:val="0043708F"/>
    <w:rsid w:val="00455BB9"/>
    <w:rsid w:val="0045761C"/>
    <w:rsid w:val="0047088E"/>
    <w:rsid w:val="00476020"/>
    <w:rsid w:val="00477F15"/>
    <w:rsid w:val="0048339B"/>
    <w:rsid w:val="004860D9"/>
    <w:rsid w:val="004A5D4A"/>
    <w:rsid w:val="004A602E"/>
    <w:rsid w:val="004A66FE"/>
    <w:rsid w:val="004B6435"/>
    <w:rsid w:val="004C5219"/>
    <w:rsid w:val="004D23D1"/>
    <w:rsid w:val="004D484C"/>
    <w:rsid w:val="004D4AB8"/>
    <w:rsid w:val="004D7470"/>
    <w:rsid w:val="004D74FF"/>
    <w:rsid w:val="004E7E59"/>
    <w:rsid w:val="004F0EFE"/>
    <w:rsid w:val="004F76F1"/>
    <w:rsid w:val="00500BCC"/>
    <w:rsid w:val="0050102F"/>
    <w:rsid w:val="00521165"/>
    <w:rsid w:val="0052255C"/>
    <w:rsid w:val="00527460"/>
    <w:rsid w:val="0053010F"/>
    <w:rsid w:val="00541074"/>
    <w:rsid w:val="00541E9E"/>
    <w:rsid w:val="005426BF"/>
    <w:rsid w:val="00545C3D"/>
    <w:rsid w:val="00550BB4"/>
    <w:rsid w:val="00553985"/>
    <w:rsid w:val="0056456B"/>
    <w:rsid w:val="005654C5"/>
    <w:rsid w:val="00575863"/>
    <w:rsid w:val="00584B3A"/>
    <w:rsid w:val="005904B3"/>
    <w:rsid w:val="0059246B"/>
    <w:rsid w:val="00592714"/>
    <w:rsid w:val="00594BBE"/>
    <w:rsid w:val="005A738B"/>
    <w:rsid w:val="005B0862"/>
    <w:rsid w:val="005B0B2E"/>
    <w:rsid w:val="005B226D"/>
    <w:rsid w:val="005C5EF2"/>
    <w:rsid w:val="005C7104"/>
    <w:rsid w:val="005D033B"/>
    <w:rsid w:val="005D7403"/>
    <w:rsid w:val="005E15EF"/>
    <w:rsid w:val="005E360E"/>
    <w:rsid w:val="005E4049"/>
    <w:rsid w:val="005E672B"/>
    <w:rsid w:val="005F268A"/>
    <w:rsid w:val="005F31F0"/>
    <w:rsid w:val="005F4BAE"/>
    <w:rsid w:val="005F4EA8"/>
    <w:rsid w:val="005F6EE5"/>
    <w:rsid w:val="0060038A"/>
    <w:rsid w:val="00603B8B"/>
    <w:rsid w:val="00605A8A"/>
    <w:rsid w:val="006102C7"/>
    <w:rsid w:val="00613906"/>
    <w:rsid w:val="00616B17"/>
    <w:rsid w:val="006262FD"/>
    <w:rsid w:val="006361A3"/>
    <w:rsid w:val="00637682"/>
    <w:rsid w:val="00641ADB"/>
    <w:rsid w:val="00645280"/>
    <w:rsid w:val="006624E4"/>
    <w:rsid w:val="00664172"/>
    <w:rsid w:val="00667A03"/>
    <w:rsid w:val="00673BB7"/>
    <w:rsid w:val="00675812"/>
    <w:rsid w:val="006833E8"/>
    <w:rsid w:val="0069219A"/>
    <w:rsid w:val="006A2CAA"/>
    <w:rsid w:val="006A58D1"/>
    <w:rsid w:val="006A6B6F"/>
    <w:rsid w:val="006B479A"/>
    <w:rsid w:val="006C3E6A"/>
    <w:rsid w:val="006D2669"/>
    <w:rsid w:val="006D3308"/>
    <w:rsid w:val="006D3906"/>
    <w:rsid w:val="006D78E3"/>
    <w:rsid w:val="006E3703"/>
    <w:rsid w:val="006E385D"/>
    <w:rsid w:val="006E401F"/>
    <w:rsid w:val="006E424C"/>
    <w:rsid w:val="006E6725"/>
    <w:rsid w:val="006F1CF7"/>
    <w:rsid w:val="006F2C36"/>
    <w:rsid w:val="006F3239"/>
    <w:rsid w:val="006F3EBC"/>
    <w:rsid w:val="006F78D3"/>
    <w:rsid w:val="007206E0"/>
    <w:rsid w:val="00727ED2"/>
    <w:rsid w:val="007316A5"/>
    <w:rsid w:val="00734402"/>
    <w:rsid w:val="007364AA"/>
    <w:rsid w:val="00736FB2"/>
    <w:rsid w:val="00737671"/>
    <w:rsid w:val="007378B4"/>
    <w:rsid w:val="00742557"/>
    <w:rsid w:val="0074371F"/>
    <w:rsid w:val="007456E9"/>
    <w:rsid w:val="00746495"/>
    <w:rsid w:val="00747727"/>
    <w:rsid w:val="007537BE"/>
    <w:rsid w:val="00755171"/>
    <w:rsid w:val="00757700"/>
    <w:rsid w:val="0076238E"/>
    <w:rsid w:val="00764565"/>
    <w:rsid w:val="00765B2B"/>
    <w:rsid w:val="00765D7B"/>
    <w:rsid w:val="00772096"/>
    <w:rsid w:val="00776A2C"/>
    <w:rsid w:val="0077740C"/>
    <w:rsid w:val="00777CF1"/>
    <w:rsid w:val="00780387"/>
    <w:rsid w:val="007819FE"/>
    <w:rsid w:val="00786089"/>
    <w:rsid w:val="00795103"/>
    <w:rsid w:val="0079589C"/>
    <w:rsid w:val="00796A0B"/>
    <w:rsid w:val="007A1419"/>
    <w:rsid w:val="007A2BBF"/>
    <w:rsid w:val="007A46BD"/>
    <w:rsid w:val="007A7B74"/>
    <w:rsid w:val="007A7F44"/>
    <w:rsid w:val="007B2A9B"/>
    <w:rsid w:val="007C1128"/>
    <w:rsid w:val="007C43E2"/>
    <w:rsid w:val="007C66DE"/>
    <w:rsid w:val="007C70A5"/>
    <w:rsid w:val="007C7B51"/>
    <w:rsid w:val="007D16CC"/>
    <w:rsid w:val="007E2684"/>
    <w:rsid w:val="007E430C"/>
    <w:rsid w:val="007E5DCA"/>
    <w:rsid w:val="007F5E4A"/>
    <w:rsid w:val="008038F9"/>
    <w:rsid w:val="008047C0"/>
    <w:rsid w:val="008060A2"/>
    <w:rsid w:val="00811EDB"/>
    <w:rsid w:val="00812C07"/>
    <w:rsid w:val="008137F5"/>
    <w:rsid w:val="00820872"/>
    <w:rsid w:val="00820DAD"/>
    <w:rsid w:val="00827D18"/>
    <w:rsid w:val="00827F3C"/>
    <w:rsid w:val="008336B5"/>
    <w:rsid w:val="00837094"/>
    <w:rsid w:val="00841811"/>
    <w:rsid w:val="008429C4"/>
    <w:rsid w:val="0084573E"/>
    <w:rsid w:val="00852496"/>
    <w:rsid w:val="008527C1"/>
    <w:rsid w:val="008545A7"/>
    <w:rsid w:val="008547CB"/>
    <w:rsid w:val="00860846"/>
    <w:rsid w:val="00864ECC"/>
    <w:rsid w:val="00866577"/>
    <w:rsid w:val="00872C29"/>
    <w:rsid w:val="0087356D"/>
    <w:rsid w:val="00874F4E"/>
    <w:rsid w:val="00881229"/>
    <w:rsid w:val="00882CE5"/>
    <w:rsid w:val="00882D65"/>
    <w:rsid w:val="0089013C"/>
    <w:rsid w:val="00890BCF"/>
    <w:rsid w:val="0089613B"/>
    <w:rsid w:val="008A0494"/>
    <w:rsid w:val="008A4E08"/>
    <w:rsid w:val="008A7B9C"/>
    <w:rsid w:val="008B1B33"/>
    <w:rsid w:val="008B2013"/>
    <w:rsid w:val="008C31F0"/>
    <w:rsid w:val="008D1663"/>
    <w:rsid w:val="008D4F9A"/>
    <w:rsid w:val="008D7B91"/>
    <w:rsid w:val="008E3ED3"/>
    <w:rsid w:val="008E6F97"/>
    <w:rsid w:val="008F0D67"/>
    <w:rsid w:val="008F5DE6"/>
    <w:rsid w:val="008F61B5"/>
    <w:rsid w:val="008F6C57"/>
    <w:rsid w:val="00901FF1"/>
    <w:rsid w:val="00906927"/>
    <w:rsid w:val="009138ED"/>
    <w:rsid w:val="00914B53"/>
    <w:rsid w:val="009210B5"/>
    <w:rsid w:val="00924697"/>
    <w:rsid w:val="0092600A"/>
    <w:rsid w:val="00933ED0"/>
    <w:rsid w:val="0094752E"/>
    <w:rsid w:val="00950AE4"/>
    <w:rsid w:val="009532C6"/>
    <w:rsid w:val="00956CDF"/>
    <w:rsid w:val="00972217"/>
    <w:rsid w:val="009746DC"/>
    <w:rsid w:val="0097546D"/>
    <w:rsid w:val="00975FCC"/>
    <w:rsid w:val="009777E1"/>
    <w:rsid w:val="00980F6B"/>
    <w:rsid w:val="00982DC6"/>
    <w:rsid w:val="00986D80"/>
    <w:rsid w:val="009962D0"/>
    <w:rsid w:val="009A1AFE"/>
    <w:rsid w:val="009B1507"/>
    <w:rsid w:val="009B402D"/>
    <w:rsid w:val="009B57CE"/>
    <w:rsid w:val="009B7BFD"/>
    <w:rsid w:val="009C4CCE"/>
    <w:rsid w:val="009D0815"/>
    <w:rsid w:val="009D0FCC"/>
    <w:rsid w:val="009D2F44"/>
    <w:rsid w:val="009D66EB"/>
    <w:rsid w:val="009D68EC"/>
    <w:rsid w:val="009E0A8B"/>
    <w:rsid w:val="009E52B2"/>
    <w:rsid w:val="009E60AC"/>
    <w:rsid w:val="009E6F36"/>
    <w:rsid w:val="009F15E0"/>
    <w:rsid w:val="009F6498"/>
    <w:rsid w:val="009F77A0"/>
    <w:rsid w:val="00A03C86"/>
    <w:rsid w:val="00A0517F"/>
    <w:rsid w:val="00A0591C"/>
    <w:rsid w:val="00A062A7"/>
    <w:rsid w:val="00A06721"/>
    <w:rsid w:val="00A074F0"/>
    <w:rsid w:val="00A165BF"/>
    <w:rsid w:val="00A167FC"/>
    <w:rsid w:val="00A17BF0"/>
    <w:rsid w:val="00A22213"/>
    <w:rsid w:val="00A2272C"/>
    <w:rsid w:val="00A23F8F"/>
    <w:rsid w:val="00A322D6"/>
    <w:rsid w:val="00A41AD4"/>
    <w:rsid w:val="00A42177"/>
    <w:rsid w:val="00A44CB4"/>
    <w:rsid w:val="00A45172"/>
    <w:rsid w:val="00A46D46"/>
    <w:rsid w:val="00A47CD2"/>
    <w:rsid w:val="00A539A8"/>
    <w:rsid w:val="00A5541B"/>
    <w:rsid w:val="00A75955"/>
    <w:rsid w:val="00A75D44"/>
    <w:rsid w:val="00A92657"/>
    <w:rsid w:val="00AA0C76"/>
    <w:rsid w:val="00AA12D9"/>
    <w:rsid w:val="00AA3578"/>
    <w:rsid w:val="00AA4C85"/>
    <w:rsid w:val="00AA619C"/>
    <w:rsid w:val="00AB02CE"/>
    <w:rsid w:val="00AB3CE8"/>
    <w:rsid w:val="00AB6325"/>
    <w:rsid w:val="00AC017D"/>
    <w:rsid w:val="00AC50D9"/>
    <w:rsid w:val="00AC6511"/>
    <w:rsid w:val="00AD41BB"/>
    <w:rsid w:val="00AD4AFC"/>
    <w:rsid w:val="00AD5B3D"/>
    <w:rsid w:val="00AD62C1"/>
    <w:rsid w:val="00AD7D2E"/>
    <w:rsid w:val="00AE01C1"/>
    <w:rsid w:val="00AE033B"/>
    <w:rsid w:val="00AE7C65"/>
    <w:rsid w:val="00B01D87"/>
    <w:rsid w:val="00B044DC"/>
    <w:rsid w:val="00B06731"/>
    <w:rsid w:val="00B13F75"/>
    <w:rsid w:val="00B14784"/>
    <w:rsid w:val="00B16882"/>
    <w:rsid w:val="00B17B68"/>
    <w:rsid w:val="00B24295"/>
    <w:rsid w:val="00B2753D"/>
    <w:rsid w:val="00B32227"/>
    <w:rsid w:val="00B34D70"/>
    <w:rsid w:val="00B36C8A"/>
    <w:rsid w:val="00B40B54"/>
    <w:rsid w:val="00B410E3"/>
    <w:rsid w:val="00B41338"/>
    <w:rsid w:val="00B4164B"/>
    <w:rsid w:val="00B42676"/>
    <w:rsid w:val="00B42D30"/>
    <w:rsid w:val="00B50B9F"/>
    <w:rsid w:val="00B51CCA"/>
    <w:rsid w:val="00B53825"/>
    <w:rsid w:val="00B7020F"/>
    <w:rsid w:val="00B71014"/>
    <w:rsid w:val="00B71552"/>
    <w:rsid w:val="00B71FB1"/>
    <w:rsid w:val="00B761B0"/>
    <w:rsid w:val="00B76556"/>
    <w:rsid w:val="00B76A3F"/>
    <w:rsid w:val="00B76F53"/>
    <w:rsid w:val="00B84591"/>
    <w:rsid w:val="00B8468F"/>
    <w:rsid w:val="00B861C8"/>
    <w:rsid w:val="00B87902"/>
    <w:rsid w:val="00B91952"/>
    <w:rsid w:val="00B9244B"/>
    <w:rsid w:val="00B94320"/>
    <w:rsid w:val="00BA188A"/>
    <w:rsid w:val="00BA6FFC"/>
    <w:rsid w:val="00BB0365"/>
    <w:rsid w:val="00BC649C"/>
    <w:rsid w:val="00BD66F0"/>
    <w:rsid w:val="00BE39E9"/>
    <w:rsid w:val="00BF0E37"/>
    <w:rsid w:val="00BF2996"/>
    <w:rsid w:val="00BF2A0E"/>
    <w:rsid w:val="00C00C5F"/>
    <w:rsid w:val="00C0162A"/>
    <w:rsid w:val="00C01C26"/>
    <w:rsid w:val="00C0223F"/>
    <w:rsid w:val="00C02866"/>
    <w:rsid w:val="00C07165"/>
    <w:rsid w:val="00C13980"/>
    <w:rsid w:val="00C14474"/>
    <w:rsid w:val="00C164D0"/>
    <w:rsid w:val="00C2216C"/>
    <w:rsid w:val="00C22B2A"/>
    <w:rsid w:val="00C230B2"/>
    <w:rsid w:val="00C2369D"/>
    <w:rsid w:val="00C3041B"/>
    <w:rsid w:val="00C32D5F"/>
    <w:rsid w:val="00C3369F"/>
    <w:rsid w:val="00C3468C"/>
    <w:rsid w:val="00C355B4"/>
    <w:rsid w:val="00C409C3"/>
    <w:rsid w:val="00C42264"/>
    <w:rsid w:val="00C44CE7"/>
    <w:rsid w:val="00C5017C"/>
    <w:rsid w:val="00C53CC7"/>
    <w:rsid w:val="00C54580"/>
    <w:rsid w:val="00C54CC8"/>
    <w:rsid w:val="00C71590"/>
    <w:rsid w:val="00C74BCE"/>
    <w:rsid w:val="00C771C2"/>
    <w:rsid w:val="00C80F70"/>
    <w:rsid w:val="00C812AC"/>
    <w:rsid w:val="00C82364"/>
    <w:rsid w:val="00C84DF4"/>
    <w:rsid w:val="00C93FC2"/>
    <w:rsid w:val="00C94420"/>
    <w:rsid w:val="00C96ADB"/>
    <w:rsid w:val="00CB197D"/>
    <w:rsid w:val="00CB33DC"/>
    <w:rsid w:val="00CB3DE4"/>
    <w:rsid w:val="00CB79DB"/>
    <w:rsid w:val="00CC1ED5"/>
    <w:rsid w:val="00CC3401"/>
    <w:rsid w:val="00CC34C7"/>
    <w:rsid w:val="00CC458A"/>
    <w:rsid w:val="00CC6ACA"/>
    <w:rsid w:val="00CD6DA9"/>
    <w:rsid w:val="00CE01D3"/>
    <w:rsid w:val="00CE1318"/>
    <w:rsid w:val="00CF0641"/>
    <w:rsid w:val="00CF21AB"/>
    <w:rsid w:val="00CF7362"/>
    <w:rsid w:val="00D01074"/>
    <w:rsid w:val="00D02975"/>
    <w:rsid w:val="00D07DE4"/>
    <w:rsid w:val="00D12529"/>
    <w:rsid w:val="00D136F0"/>
    <w:rsid w:val="00D13843"/>
    <w:rsid w:val="00D146F0"/>
    <w:rsid w:val="00D163C5"/>
    <w:rsid w:val="00D17EE0"/>
    <w:rsid w:val="00D20DAE"/>
    <w:rsid w:val="00D22A4E"/>
    <w:rsid w:val="00D30EF6"/>
    <w:rsid w:val="00D40502"/>
    <w:rsid w:val="00D42750"/>
    <w:rsid w:val="00D43B2E"/>
    <w:rsid w:val="00D45426"/>
    <w:rsid w:val="00D51611"/>
    <w:rsid w:val="00D51B51"/>
    <w:rsid w:val="00D52ADA"/>
    <w:rsid w:val="00D56DC8"/>
    <w:rsid w:val="00D64ADC"/>
    <w:rsid w:val="00D663B1"/>
    <w:rsid w:val="00D666C6"/>
    <w:rsid w:val="00D73130"/>
    <w:rsid w:val="00D82F07"/>
    <w:rsid w:val="00D84BCC"/>
    <w:rsid w:val="00D8529B"/>
    <w:rsid w:val="00D91967"/>
    <w:rsid w:val="00D96D8E"/>
    <w:rsid w:val="00D97AF7"/>
    <w:rsid w:val="00DA26CA"/>
    <w:rsid w:val="00DA4B59"/>
    <w:rsid w:val="00DB2BDF"/>
    <w:rsid w:val="00DB5A5C"/>
    <w:rsid w:val="00DB6405"/>
    <w:rsid w:val="00DC035C"/>
    <w:rsid w:val="00DC482C"/>
    <w:rsid w:val="00DD0D94"/>
    <w:rsid w:val="00DD3591"/>
    <w:rsid w:val="00DE5609"/>
    <w:rsid w:val="00DF08B2"/>
    <w:rsid w:val="00DF0B7B"/>
    <w:rsid w:val="00DF1895"/>
    <w:rsid w:val="00E01B0B"/>
    <w:rsid w:val="00E03DD9"/>
    <w:rsid w:val="00E04C10"/>
    <w:rsid w:val="00E13C23"/>
    <w:rsid w:val="00E16BCB"/>
    <w:rsid w:val="00E230BE"/>
    <w:rsid w:val="00E335C2"/>
    <w:rsid w:val="00E345F1"/>
    <w:rsid w:val="00E3727A"/>
    <w:rsid w:val="00E37E31"/>
    <w:rsid w:val="00E410DF"/>
    <w:rsid w:val="00E41FB2"/>
    <w:rsid w:val="00E45773"/>
    <w:rsid w:val="00E45AFA"/>
    <w:rsid w:val="00E54DF6"/>
    <w:rsid w:val="00E604F7"/>
    <w:rsid w:val="00E60775"/>
    <w:rsid w:val="00E67C69"/>
    <w:rsid w:val="00E717F6"/>
    <w:rsid w:val="00E73B31"/>
    <w:rsid w:val="00E76C57"/>
    <w:rsid w:val="00E8168D"/>
    <w:rsid w:val="00E86FFD"/>
    <w:rsid w:val="00E87B1F"/>
    <w:rsid w:val="00EA1162"/>
    <w:rsid w:val="00EB0E49"/>
    <w:rsid w:val="00EB1F92"/>
    <w:rsid w:val="00EC0C76"/>
    <w:rsid w:val="00EC1BD6"/>
    <w:rsid w:val="00ED439C"/>
    <w:rsid w:val="00ED4E0D"/>
    <w:rsid w:val="00ED6F28"/>
    <w:rsid w:val="00ED74B4"/>
    <w:rsid w:val="00ED78D4"/>
    <w:rsid w:val="00EE2038"/>
    <w:rsid w:val="00F00992"/>
    <w:rsid w:val="00F01062"/>
    <w:rsid w:val="00F06AF8"/>
    <w:rsid w:val="00F073DC"/>
    <w:rsid w:val="00F11C84"/>
    <w:rsid w:val="00F1497F"/>
    <w:rsid w:val="00F15E80"/>
    <w:rsid w:val="00F20167"/>
    <w:rsid w:val="00F24645"/>
    <w:rsid w:val="00F273D6"/>
    <w:rsid w:val="00F344E0"/>
    <w:rsid w:val="00F40189"/>
    <w:rsid w:val="00F47101"/>
    <w:rsid w:val="00F52784"/>
    <w:rsid w:val="00F5391C"/>
    <w:rsid w:val="00F55BBF"/>
    <w:rsid w:val="00F55E14"/>
    <w:rsid w:val="00F609C9"/>
    <w:rsid w:val="00F62756"/>
    <w:rsid w:val="00F6496E"/>
    <w:rsid w:val="00F64A54"/>
    <w:rsid w:val="00F66E96"/>
    <w:rsid w:val="00F670A2"/>
    <w:rsid w:val="00F746C1"/>
    <w:rsid w:val="00F7629C"/>
    <w:rsid w:val="00F821B2"/>
    <w:rsid w:val="00F83468"/>
    <w:rsid w:val="00F85725"/>
    <w:rsid w:val="00F86DAE"/>
    <w:rsid w:val="00F8737E"/>
    <w:rsid w:val="00F94602"/>
    <w:rsid w:val="00F96D4F"/>
    <w:rsid w:val="00FC1D20"/>
    <w:rsid w:val="00FC43A0"/>
    <w:rsid w:val="00FC518E"/>
    <w:rsid w:val="00FE146B"/>
    <w:rsid w:val="00FE1BDF"/>
    <w:rsid w:val="00FE211F"/>
    <w:rsid w:val="00FE468D"/>
    <w:rsid w:val="00FE4E6C"/>
    <w:rsid w:val="00FF0344"/>
    <w:rsid w:val="00FF36E7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3282-9720-44A1-8B6D-36B050AD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6B"/>
  </w:style>
  <w:style w:type="paragraph" w:styleId="1">
    <w:name w:val="heading 1"/>
    <w:basedOn w:val="a"/>
    <w:next w:val="a"/>
    <w:link w:val="10"/>
    <w:uiPriority w:val="9"/>
    <w:qFormat/>
    <w:rsid w:val="0038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E146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232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2C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i/>
      <w:iCs/>
      <w:sz w:val="24"/>
      <w:u w:val="single"/>
    </w:rPr>
  </w:style>
  <w:style w:type="paragraph" w:styleId="8">
    <w:name w:val="heading 8"/>
    <w:basedOn w:val="a"/>
    <w:next w:val="a"/>
    <w:link w:val="80"/>
    <w:qFormat/>
    <w:rsid w:val="00FE146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7850"/>
    <w:pPr>
      <w:spacing w:after="0" w:line="240" w:lineRule="auto"/>
    </w:pPr>
  </w:style>
  <w:style w:type="table" w:styleId="a5">
    <w:name w:val="Table Grid"/>
    <w:basedOn w:val="a1"/>
    <w:uiPriority w:val="59"/>
    <w:rsid w:val="000B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62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4F0E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F0E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E14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E146B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14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E146B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BA6FFC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E033B"/>
    <w:rPr>
      <w:color w:val="0000FF" w:themeColor="hyperlink"/>
      <w:u w:val="single"/>
    </w:rPr>
  </w:style>
  <w:style w:type="paragraph" w:customStyle="1" w:styleId="s1">
    <w:name w:val="s_1"/>
    <w:basedOn w:val="a"/>
    <w:rsid w:val="00B4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4133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41338"/>
  </w:style>
  <w:style w:type="paragraph" w:styleId="af">
    <w:name w:val="header"/>
    <w:basedOn w:val="a"/>
    <w:link w:val="af0"/>
    <w:uiPriority w:val="99"/>
    <w:unhideWhenUsed/>
    <w:rsid w:val="0022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275B7"/>
  </w:style>
  <w:style w:type="paragraph" w:styleId="af1">
    <w:name w:val="footer"/>
    <w:basedOn w:val="a"/>
    <w:link w:val="af2"/>
    <w:uiPriority w:val="99"/>
    <w:unhideWhenUsed/>
    <w:rsid w:val="0022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275B7"/>
  </w:style>
  <w:style w:type="character" w:customStyle="1" w:styleId="10">
    <w:name w:val="Заголовок 1 Знак"/>
    <w:basedOn w:val="a0"/>
    <w:link w:val="1"/>
    <w:uiPriority w:val="9"/>
    <w:rsid w:val="0038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3823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8232C"/>
    <w:pPr>
      <w:keepNext/>
      <w:keepLines/>
      <w:spacing w:before="40"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iCs/>
      <w:sz w:val="24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8232C"/>
  </w:style>
  <w:style w:type="character" w:customStyle="1" w:styleId="af3">
    <w:name w:val="Гипертекстовая ссылка"/>
    <w:basedOn w:val="a0"/>
    <w:uiPriority w:val="99"/>
    <w:rsid w:val="0038232C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3823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382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38232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Основной текст с отступом 34"/>
    <w:basedOn w:val="a"/>
    <w:rsid w:val="0038232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6">
    <w:name w:val="Normal (Web)"/>
    <w:basedOn w:val="a"/>
    <w:uiPriority w:val="99"/>
    <w:unhideWhenUsed/>
    <w:rsid w:val="0038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38232C"/>
    <w:rPr>
      <w:b/>
      <w:bCs/>
    </w:rPr>
  </w:style>
  <w:style w:type="character" w:customStyle="1" w:styleId="information-block-body">
    <w:name w:val="information-block-body"/>
    <w:rsid w:val="0038232C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38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8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38232C"/>
    <w:rPr>
      <w:b/>
      <w:color w:val="26282F"/>
    </w:rPr>
  </w:style>
  <w:style w:type="character" w:customStyle="1" w:styleId="af9">
    <w:name w:val="Цветовое выделение для Текст"/>
    <w:uiPriority w:val="99"/>
    <w:rsid w:val="0038232C"/>
    <w:rPr>
      <w:rFonts w:ascii="Times New Roman CYR" w:hAnsi="Times New Roman CYR"/>
    </w:rPr>
  </w:style>
  <w:style w:type="paragraph" w:customStyle="1" w:styleId="13">
    <w:name w:val="мой1"/>
    <w:basedOn w:val="a"/>
    <w:qFormat/>
    <w:rsid w:val="0038232C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_"/>
    <w:link w:val="21"/>
    <w:rsid w:val="0038232C"/>
    <w:rPr>
      <w:shd w:val="clear" w:color="auto" w:fill="FFFFFF"/>
    </w:rPr>
  </w:style>
  <w:style w:type="paragraph" w:customStyle="1" w:styleId="21">
    <w:name w:val="Основной текст2"/>
    <w:basedOn w:val="a"/>
    <w:link w:val="afa"/>
    <w:rsid w:val="0038232C"/>
    <w:pPr>
      <w:widowControl w:val="0"/>
      <w:shd w:val="clear" w:color="auto" w:fill="FFFFFF"/>
      <w:spacing w:after="0" w:line="342" w:lineRule="exact"/>
      <w:ind w:hanging="460"/>
      <w:jc w:val="center"/>
    </w:pPr>
  </w:style>
  <w:style w:type="character" w:customStyle="1" w:styleId="22">
    <w:name w:val="Основной текст (2)_"/>
    <w:link w:val="23"/>
    <w:rsid w:val="0038232C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8232C"/>
    <w:pPr>
      <w:widowControl w:val="0"/>
      <w:shd w:val="clear" w:color="auto" w:fill="FFFFFF"/>
      <w:spacing w:after="0" w:line="270" w:lineRule="exact"/>
      <w:ind w:hanging="420"/>
    </w:pPr>
    <w:rPr>
      <w:b/>
      <w:bCs/>
    </w:rPr>
  </w:style>
  <w:style w:type="table" w:customStyle="1" w:styleId="-11">
    <w:name w:val="Светлая сетка - Акцент 11"/>
    <w:basedOn w:val="a1"/>
    <w:uiPriority w:val="62"/>
    <w:rsid w:val="0038232C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styleId="33">
    <w:name w:val="Body Text Indent 3"/>
    <w:basedOn w:val="a"/>
    <w:link w:val="35"/>
    <w:uiPriority w:val="99"/>
    <w:unhideWhenUsed/>
    <w:rsid w:val="0038232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3"/>
    <w:uiPriority w:val="99"/>
    <w:rsid w:val="003823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38232C"/>
  </w:style>
  <w:style w:type="character" w:customStyle="1" w:styleId="ab">
    <w:name w:val="Абзац списка Знак"/>
    <w:link w:val="aa"/>
    <w:uiPriority w:val="34"/>
    <w:qFormat/>
    <w:locked/>
    <w:rsid w:val="0038232C"/>
  </w:style>
  <w:style w:type="paragraph" w:customStyle="1" w:styleId="14">
    <w:name w:val="Название объекта1"/>
    <w:basedOn w:val="a"/>
    <w:next w:val="a"/>
    <w:uiPriority w:val="35"/>
    <w:unhideWhenUsed/>
    <w:qFormat/>
    <w:rsid w:val="0038232C"/>
    <w:pPr>
      <w:spacing w:line="240" w:lineRule="auto"/>
    </w:pPr>
    <w:rPr>
      <w:rFonts w:eastAsia="Times New Roman"/>
      <w:b/>
      <w:bCs/>
      <w:color w:val="4472C4"/>
      <w:sz w:val="18"/>
      <w:szCs w:val="18"/>
      <w:lang w:eastAsia="ru-RU"/>
    </w:rPr>
  </w:style>
  <w:style w:type="character" w:customStyle="1" w:styleId="markedcontent">
    <w:name w:val="markedcontent"/>
    <w:basedOn w:val="a0"/>
    <w:rsid w:val="0038232C"/>
  </w:style>
  <w:style w:type="character" w:customStyle="1" w:styleId="40">
    <w:name w:val="Заголовок 4 Знак"/>
    <w:basedOn w:val="a0"/>
    <w:link w:val="4"/>
    <w:uiPriority w:val="9"/>
    <w:rsid w:val="0038232C"/>
    <w:rPr>
      <w:rFonts w:ascii="Times New Roman" w:eastAsia="Times New Roman" w:hAnsi="Times New Roman" w:cs="Times New Roman"/>
      <w:i/>
      <w:iCs/>
      <w:sz w:val="24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38232C"/>
  </w:style>
  <w:style w:type="paragraph" w:customStyle="1" w:styleId="afb">
    <w:name w:val="Название отчета МСО"/>
    <w:basedOn w:val="a"/>
    <w:next w:val="a"/>
    <w:link w:val="afc"/>
    <w:autoRedefine/>
    <w:qFormat/>
    <w:rsid w:val="0038232C"/>
    <w:pPr>
      <w:spacing w:after="120" w:line="360" w:lineRule="auto"/>
      <w:jc w:val="center"/>
    </w:pPr>
    <w:rPr>
      <w:rFonts w:ascii="Times New Roman" w:eastAsia="Times New Roman" w:hAnsi="Times New Roman"/>
      <w:caps/>
      <w:sz w:val="32"/>
      <w:szCs w:val="26"/>
      <w:lang w:eastAsia="ru-RU"/>
    </w:rPr>
  </w:style>
  <w:style w:type="character" w:customStyle="1" w:styleId="afc">
    <w:name w:val="Название отчета МСО Знак"/>
    <w:basedOn w:val="a4"/>
    <w:link w:val="afb"/>
    <w:rsid w:val="0038232C"/>
    <w:rPr>
      <w:rFonts w:ascii="Times New Roman" w:eastAsia="Times New Roman" w:hAnsi="Times New Roman"/>
      <w:caps/>
      <w:sz w:val="32"/>
      <w:szCs w:val="26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38232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Назв. рисунков"/>
    <w:basedOn w:val="a"/>
    <w:next w:val="a"/>
    <w:link w:val="afe"/>
    <w:autoRedefine/>
    <w:qFormat/>
    <w:rsid w:val="0038232C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afe">
    <w:name w:val="Назв. рисунков Знак"/>
    <w:basedOn w:val="a0"/>
    <w:link w:val="afd"/>
    <w:rsid w:val="0038232C"/>
    <w:rPr>
      <w:rFonts w:ascii="Times New Roman" w:hAnsi="Times New Roman"/>
      <w:sz w:val="20"/>
    </w:rPr>
  </w:style>
  <w:style w:type="table" w:customStyle="1" w:styleId="24">
    <w:name w:val="Сетка таблицы2"/>
    <w:basedOn w:val="a1"/>
    <w:next w:val="a5"/>
    <w:uiPriority w:val="59"/>
    <w:rsid w:val="0038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n1">
    <w:name w:val="fn1"/>
    <w:basedOn w:val="a"/>
    <w:next w:val="aff"/>
    <w:link w:val="aff0"/>
    <w:unhideWhenUsed/>
    <w:rsid w:val="0038232C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0"/>
    <w:link w:val="fn1"/>
    <w:rsid w:val="0038232C"/>
    <w:rPr>
      <w:sz w:val="20"/>
      <w:szCs w:val="20"/>
    </w:rPr>
  </w:style>
  <w:style w:type="character" w:styleId="aff1">
    <w:name w:val="footnote reference"/>
    <w:basedOn w:val="a0"/>
    <w:uiPriority w:val="99"/>
    <w:semiHidden/>
    <w:rsid w:val="0038232C"/>
    <w:rPr>
      <w:rFonts w:cs="Times New Roman"/>
      <w:vertAlign w:val="superscript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38232C"/>
    <w:pPr>
      <w:spacing w:after="100"/>
    </w:pPr>
  </w:style>
  <w:style w:type="paragraph" w:customStyle="1" w:styleId="210">
    <w:name w:val="Оглавление 21"/>
    <w:basedOn w:val="a"/>
    <w:next w:val="a"/>
    <w:autoRedefine/>
    <w:uiPriority w:val="39"/>
    <w:unhideWhenUsed/>
    <w:rsid w:val="0038232C"/>
    <w:pPr>
      <w:spacing w:after="100"/>
      <w:ind w:left="220"/>
    </w:pPr>
  </w:style>
  <w:style w:type="paragraph" w:customStyle="1" w:styleId="310">
    <w:name w:val="Оглавление 31"/>
    <w:basedOn w:val="a"/>
    <w:next w:val="a"/>
    <w:autoRedefine/>
    <w:uiPriority w:val="39"/>
    <w:unhideWhenUsed/>
    <w:rsid w:val="0038232C"/>
    <w:pPr>
      <w:spacing w:after="100"/>
      <w:ind w:left="440"/>
    </w:pPr>
  </w:style>
  <w:style w:type="character" w:styleId="aff2">
    <w:name w:val="Placeholder Text"/>
    <w:basedOn w:val="a0"/>
    <w:uiPriority w:val="99"/>
    <w:semiHidden/>
    <w:rsid w:val="0038232C"/>
    <w:rPr>
      <w:color w:val="808080"/>
    </w:rPr>
  </w:style>
  <w:style w:type="paragraph" w:customStyle="1" w:styleId="aff3">
    <w:name w:val="Замещаемый текст"/>
    <w:basedOn w:val="a3"/>
    <w:link w:val="aff4"/>
    <w:autoRedefine/>
    <w:qFormat/>
    <w:rsid w:val="0038232C"/>
    <w:pPr>
      <w:ind w:firstLine="709"/>
      <w:jc w:val="both"/>
    </w:pPr>
    <w:rPr>
      <w:rFonts w:ascii="Times New Roman" w:eastAsia="Times New Roman" w:hAnsi="Times New Roman"/>
      <w:color w:val="A6A6A6"/>
      <w:sz w:val="20"/>
      <w:lang w:eastAsia="ru-RU"/>
    </w:rPr>
  </w:style>
  <w:style w:type="character" w:customStyle="1" w:styleId="aff4">
    <w:name w:val="Замещаемый текст Знак"/>
    <w:basedOn w:val="a0"/>
    <w:link w:val="aff3"/>
    <w:rsid w:val="0038232C"/>
    <w:rPr>
      <w:rFonts w:ascii="Times New Roman" w:eastAsia="Times New Roman" w:hAnsi="Times New Roman"/>
      <w:color w:val="A6A6A6"/>
      <w:sz w:val="20"/>
      <w:lang w:eastAsia="ru-RU"/>
    </w:rPr>
  </w:style>
  <w:style w:type="paragraph" w:customStyle="1" w:styleId="15">
    <w:name w:val="Название1"/>
    <w:basedOn w:val="a"/>
    <w:next w:val="a"/>
    <w:autoRedefine/>
    <w:uiPriority w:val="10"/>
    <w:rsid w:val="0038232C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aff5">
    <w:name w:val="Название Знак"/>
    <w:basedOn w:val="a0"/>
    <w:link w:val="aff6"/>
    <w:uiPriority w:val="10"/>
    <w:rsid w:val="0038232C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paragraph" w:styleId="aff7">
    <w:name w:val="TOC Heading"/>
    <w:basedOn w:val="1"/>
    <w:next w:val="a"/>
    <w:uiPriority w:val="39"/>
    <w:unhideWhenUsed/>
    <w:qFormat/>
    <w:rsid w:val="0038232C"/>
    <w:pPr>
      <w:spacing w:before="120" w:after="120" w:line="259" w:lineRule="auto"/>
      <w:outlineLvl w:val="9"/>
    </w:pPr>
    <w:rPr>
      <w:rFonts w:ascii="Times New Roman" w:hAnsi="Times New Roman"/>
      <w:b/>
      <w:color w:val="auto"/>
      <w:lang w:eastAsia="ru-RU"/>
    </w:rPr>
  </w:style>
  <w:style w:type="paragraph" w:customStyle="1" w:styleId="16">
    <w:name w:val="Выделенная цитата1"/>
    <w:basedOn w:val="a"/>
    <w:next w:val="a"/>
    <w:uiPriority w:val="30"/>
    <w:rsid w:val="0038232C"/>
    <w:pPr>
      <w:pBdr>
        <w:top w:val="single" w:sz="4" w:space="10" w:color="4472C4"/>
        <w:bottom w:val="single" w:sz="4" w:space="10" w:color="4472C4"/>
      </w:pBdr>
      <w:spacing w:before="360" w:after="360" w:line="360" w:lineRule="auto"/>
      <w:ind w:left="864" w:right="864" w:firstLine="709"/>
      <w:jc w:val="center"/>
    </w:pPr>
    <w:rPr>
      <w:rFonts w:ascii="Times New Roman" w:hAnsi="Times New Roman"/>
      <w:i/>
      <w:iCs/>
      <w:color w:val="4472C4"/>
      <w:sz w:val="24"/>
    </w:rPr>
  </w:style>
  <w:style w:type="character" w:customStyle="1" w:styleId="aff8">
    <w:name w:val="Выделенная цитата Знак"/>
    <w:basedOn w:val="a0"/>
    <w:link w:val="aff9"/>
    <w:uiPriority w:val="30"/>
    <w:rsid w:val="0038232C"/>
    <w:rPr>
      <w:rFonts w:ascii="Times New Roman" w:hAnsi="Times New Roman"/>
      <w:i/>
      <w:iCs/>
      <w:color w:val="4472C4"/>
      <w:sz w:val="24"/>
    </w:rPr>
  </w:style>
  <w:style w:type="character" w:styleId="affa">
    <w:name w:val="annotation reference"/>
    <w:basedOn w:val="a0"/>
    <w:uiPriority w:val="99"/>
    <w:semiHidden/>
    <w:unhideWhenUsed/>
    <w:rsid w:val="0038232C"/>
    <w:rPr>
      <w:sz w:val="16"/>
      <w:szCs w:val="16"/>
    </w:rPr>
  </w:style>
  <w:style w:type="paragraph" w:customStyle="1" w:styleId="17">
    <w:name w:val="Текст примечания1"/>
    <w:basedOn w:val="a"/>
    <w:next w:val="affb"/>
    <w:link w:val="affc"/>
    <w:uiPriority w:val="99"/>
    <w:semiHidden/>
    <w:unhideWhenUsed/>
    <w:rsid w:val="0038232C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fc">
    <w:name w:val="Текст примечания Знак"/>
    <w:basedOn w:val="a0"/>
    <w:link w:val="17"/>
    <w:uiPriority w:val="99"/>
    <w:semiHidden/>
    <w:rsid w:val="0038232C"/>
    <w:rPr>
      <w:rFonts w:ascii="Times New Roman" w:hAnsi="Times New Roman"/>
      <w:sz w:val="20"/>
      <w:szCs w:val="20"/>
    </w:rPr>
  </w:style>
  <w:style w:type="paragraph" w:styleId="affb">
    <w:name w:val="annotation text"/>
    <w:basedOn w:val="a"/>
    <w:link w:val="18"/>
    <w:uiPriority w:val="99"/>
    <w:semiHidden/>
    <w:unhideWhenUsed/>
    <w:rsid w:val="0038232C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fb"/>
    <w:uiPriority w:val="99"/>
    <w:semiHidden/>
    <w:rsid w:val="0038232C"/>
    <w:rPr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8232C"/>
    <w:pPr>
      <w:spacing w:after="0"/>
      <w:ind w:firstLine="709"/>
      <w:jc w:val="both"/>
    </w:pPr>
    <w:rPr>
      <w:rFonts w:ascii="Times New Roman" w:hAnsi="Times New Roman"/>
      <w:b/>
      <w:bCs/>
    </w:rPr>
  </w:style>
  <w:style w:type="character" w:customStyle="1" w:styleId="affe">
    <w:name w:val="Тема примечания Знак"/>
    <w:basedOn w:val="18"/>
    <w:link w:val="affd"/>
    <w:uiPriority w:val="99"/>
    <w:semiHidden/>
    <w:rsid w:val="0038232C"/>
    <w:rPr>
      <w:rFonts w:ascii="Times New Roman" w:hAnsi="Times New Roman"/>
      <w:b/>
      <w:bCs/>
      <w:sz w:val="20"/>
      <w:szCs w:val="20"/>
    </w:rPr>
  </w:style>
  <w:style w:type="paragraph" w:customStyle="1" w:styleId="19">
    <w:name w:val="Подзаголовок1"/>
    <w:basedOn w:val="a"/>
    <w:next w:val="a"/>
    <w:autoRedefine/>
    <w:uiPriority w:val="11"/>
    <w:qFormat/>
    <w:rsid w:val="0038232C"/>
    <w:pPr>
      <w:numPr>
        <w:ilvl w:val="1"/>
      </w:numPr>
      <w:spacing w:before="120" w:after="0" w:line="360" w:lineRule="auto"/>
      <w:ind w:firstLine="709"/>
      <w:jc w:val="both"/>
    </w:pPr>
    <w:rPr>
      <w:rFonts w:ascii="Times New Roman" w:eastAsia="Times New Roman" w:hAnsi="Times New Roman"/>
      <w:i/>
      <w:spacing w:val="15"/>
      <w:sz w:val="24"/>
    </w:rPr>
  </w:style>
  <w:style w:type="character" w:customStyle="1" w:styleId="afff">
    <w:name w:val="Подзаголовок Знак"/>
    <w:basedOn w:val="a0"/>
    <w:link w:val="afff0"/>
    <w:uiPriority w:val="11"/>
    <w:rsid w:val="0038232C"/>
    <w:rPr>
      <w:rFonts w:ascii="Times New Roman" w:eastAsia="Times New Roman" w:hAnsi="Times New Roman"/>
      <w:i/>
      <w:spacing w:val="15"/>
      <w:sz w:val="24"/>
    </w:rPr>
  </w:style>
  <w:style w:type="paragraph" w:customStyle="1" w:styleId="afff1">
    <w:name w:val="Текст отчета"/>
    <w:basedOn w:val="a"/>
    <w:link w:val="afff2"/>
    <w:autoRedefine/>
    <w:rsid w:val="0038232C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2">
    <w:name w:val="Текст отчета Знак"/>
    <w:basedOn w:val="a0"/>
    <w:link w:val="afff1"/>
    <w:rsid w:val="0038232C"/>
    <w:rPr>
      <w:rFonts w:ascii="Times New Roman" w:hAnsi="Times New Roman"/>
      <w:sz w:val="24"/>
    </w:rPr>
  </w:style>
  <w:style w:type="table" w:customStyle="1" w:styleId="311">
    <w:name w:val="Таблица простая 31"/>
    <w:basedOn w:val="a1"/>
    <w:uiPriority w:val="43"/>
    <w:rsid w:val="0038232C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3823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0">
    <w:name w:val="Таблица простая 311"/>
    <w:basedOn w:val="a1"/>
    <w:uiPriority w:val="43"/>
    <w:rsid w:val="0038232C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38232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112">
    <w:name w:val="Нет списка11"/>
    <w:next w:val="a2"/>
    <w:uiPriority w:val="99"/>
    <w:semiHidden/>
    <w:unhideWhenUsed/>
    <w:rsid w:val="0038232C"/>
  </w:style>
  <w:style w:type="character" w:customStyle="1" w:styleId="highlightsearch">
    <w:name w:val="highlightsearch"/>
    <w:basedOn w:val="a0"/>
    <w:rsid w:val="0038232C"/>
  </w:style>
  <w:style w:type="character" w:customStyle="1" w:styleId="1a">
    <w:name w:val="Основной текст1"/>
    <w:rsid w:val="003823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6">
    <w:name w:val="Основной текст3"/>
    <w:basedOn w:val="a"/>
    <w:rsid w:val="0038232C"/>
    <w:pPr>
      <w:widowControl w:val="0"/>
      <w:shd w:val="clear" w:color="auto" w:fill="FFFFFF"/>
      <w:spacing w:before="840" w:after="0" w:line="317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f3">
    <w:name w:val="Сноска_"/>
    <w:link w:val="afff4"/>
    <w:rsid w:val="0038232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f5">
    <w:name w:val="Сноска + Не полужирный"/>
    <w:rsid w:val="003823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4">
    <w:name w:val="Сноска"/>
    <w:basedOn w:val="a"/>
    <w:link w:val="afff3"/>
    <w:rsid w:val="0038232C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ff6">
    <w:name w:val="Основной текст + Полужирный"/>
    <w:rsid w:val="003823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0">
    <w:name w:val="Заголовок 4 Знак1"/>
    <w:basedOn w:val="a0"/>
    <w:uiPriority w:val="9"/>
    <w:semiHidden/>
    <w:rsid w:val="003823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">
    <w:name w:val="footnote text"/>
    <w:basedOn w:val="a"/>
    <w:link w:val="1b"/>
    <w:uiPriority w:val="99"/>
    <w:semiHidden/>
    <w:unhideWhenUsed/>
    <w:rsid w:val="0038232C"/>
    <w:pPr>
      <w:spacing w:after="0" w:line="240" w:lineRule="auto"/>
    </w:pPr>
    <w:rPr>
      <w:sz w:val="20"/>
      <w:szCs w:val="20"/>
    </w:rPr>
  </w:style>
  <w:style w:type="character" w:customStyle="1" w:styleId="1b">
    <w:name w:val="Текст сноски Знак1"/>
    <w:basedOn w:val="a0"/>
    <w:link w:val="aff"/>
    <w:uiPriority w:val="99"/>
    <w:semiHidden/>
    <w:rsid w:val="0038232C"/>
    <w:rPr>
      <w:sz w:val="20"/>
      <w:szCs w:val="20"/>
    </w:rPr>
  </w:style>
  <w:style w:type="paragraph" w:styleId="aff6">
    <w:name w:val="Title"/>
    <w:basedOn w:val="a"/>
    <w:next w:val="a"/>
    <w:link w:val="aff5"/>
    <w:uiPriority w:val="10"/>
    <w:qFormat/>
    <w:rsid w:val="0038232C"/>
    <w:pPr>
      <w:spacing w:after="0" w:line="240" w:lineRule="auto"/>
      <w:contextualSpacing/>
    </w:pPr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c">
    <w:name w:val="Название Знак1"/>
    <w:basedOn w:val="a0"/>
    <w:uiPriority w:val="10"/>
    <w:rsid w:val="0038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9">
    <w:name w:val="Intense Quote"/>
    <w:basedOn w:val="a"/>
    <w:next w:val="a"/>
    <w:link w:val="aff8"/>
    <w:uiPriority w:val="30"/>
    <w:qFormat/>
    <w:rsid w:val="003823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4472C4"/>
      <w:sz w:val="24"/>
    </w:rPr>
  </w:style>
  <w:style w:type="character" w:customStyle="1" w:styleId="1d">
    <w:name w:val="Выделенная цитата Знак1"/>
    <w:basedOn w:val="a0"/>
    <w:uiPriority w:val="30"/>
    <w:rsid w:val="0038232C"/>
    <w:rPr>
      <w:i/>
      <w:iCs/>
      <w:color w:val="4F81BD" w:themeColor="accent1"/>
    </w:rPr>
  </w:style>
  <w:style w:type="paragraph" w:styleId="afff0">
    <w:name w:val="Subtitle"/>
    <w:basedOn w:val="a"/>
    <w:next w:val="a"/>
    <w:link w:val="afff"/>
    <w:uiPriority w:val="11"/>
    <w:qFormat/>
    <w:rsid w:val="0038232C"/>
    <w:pPr>
      <w:numPr>
        <w:ilvl w:val="1"/>
      </w:numPr>
      <w:spacing w:after="160"/>
    </w:pPr>
    <w:rPr>
      <w:rFonts w:ascii="Times New Roman" w:eastAsia="Times New Roman" w:hAnsi="Times New Roman"/>
      <w:i/>
      <w:spacing w:val="15"/>
      <w:sz w:val="24"/>
    </w:rPr>
  </w:style>
  <w:style w:type="character" w:customStyle="1" w:styleId="1e">
    <w:name w:val="Подзаголовок Знак1"/>
    <w:basedOn w:val="a0"/>
    <w:uiPriority w:val="11"/>
    <w:rsid w:val="003823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@ugorsk.ru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  <c:pt idx="5">
                  <c:v>2019 год </c:v>
                </c:pt>
                <c:pt idx="6">
                  <c:v>2020 год</c:v>
                </c:pt>
                <c:pt idx="7">
                  <c:v>2021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60.36</c:v>
                </c:pt>
                <c:pt idx="1">
                  <c:v>64.930000000000007</c:v>
                </c:pt>
                <c:pt idx="2">
                  <c:v>65.099999999999994</c:v>
                </c:pt>
                <c:pt idx="3">
                  <c:v>64.5</c:v>
                </c:pt>
                <c:pt idx="4">
                  <c:v>71.349999999999994</c:v>
                </c:pt>
                <c:pt idx="5">
                  <c:v>72</c:v>
                </c:pt>
                <c:pt idx="6">
                  <c:v>70</c:v>
                </c:pt>
                <c:pt idx="7">
                  <c:v>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632-48D4-A6D3-EB34A3C733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5492960"/>
        <c:axId val="535493352"/>
      </c:lineChart>
      <c:catAx>
        <c:axId val="535492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PT Astra Serif" panose="020A0603040505020204" pitchFamily="18" charset="-52"/>
                <a:ea typeface="PT Astra Serif" panose="020A0603040505020204" pitchFamily="18" charset="-52"/>
                <a:cs typeface="Times New Roman" pitchFamily="18" charset="0"/>
              </a:defRPr>
            </a:pPr>
            <a:endParaRPr lang="ru-RU"/>
          </a:p>
        </c:txPr>
        <c:crossAx val="535493352"/>
        <c:crosses val="autoZero"/>
        <c:auto val="1"/>
        <c:lblAlgn val="ctr"/>
        <c:lblOffset val="100"/>
        <c:noMultiLvlLbl val="0"/>
      </c:catAx>
      <c:valAx>
        <c:axId val="5354933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3549296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000" i="1">
                <a:latin typeface="Times New Roman" panose="02020603050405020304" pitchFamily="18" charset="0"/>
                <a:cs typeface="Times New Roman" panose="02020603050405020304" pitchFamily="18" charset="0"/>
              </a:rPr>
              <a:t>Рисунок 1. </a:t>
            </a:r>
            <a:r>
              <a:rPr lang="ru-RU" sz="1000" b="0" i="0">
                <a:latin typeface="Times New Roman" panose="02020603050405020304" pitchFamily="18" charset="0"/>
                <a:cs typeface="Times New Roman" panose="02020603050405020304" pitchFamily="18" charset="0"/>
              </a:rPr>
              <a:t>Доля детей в возрасте от 2 месяцев до 3 лет, стоящих в очереди от общего количества детей</a:t>
            </a:r>
          </a:p>
        </c:rich>
      </c:tx>
      <c:layout>
        <c:manualLayout>
          <c:xMode val="edge"/>
          <c:yMode val="edge"/>
          <c:x val="7.9417894545360093E-2"/>
          <c:y val="0.70896131039175669"/>
        </c:manualLayout>
      </c:layout>
      <c:overlay val="0"/>
    </c:title>
    <c:autoTitleDeleted val="0"/>
    <c:view3D>
      <c:rotX val="15"/>
      <c:rotY val="30"/>
      <c:depthPercent val="11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1.3003374578177734E-3"/>
          <c:y val="0"/>
          <c:w val="0.99761344264956575"/>
          <c:h val="0.57986493875765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701E-2"/>
                  <c:y val="-3.96825396825396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562-FD46-A6D4-48FE4DD6277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924E-2"/>
                  <c:y val="-3.9682539682539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562-FD46-A6D4-48FE4DD6277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2407407407408391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562-FD46-A6D4-48FE4DD6277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0.16</c:v>
                </c:pt>
                <c:pt idx="1">
                  <c:v>0.157</c:v>
                </c:pt>
                <c:pt idx="2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562-FD46-A6D4-48FE4DD6277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Лист1!$C$2:$C$4</c:f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4-5562-FD46-A6D4-48FE4DD6277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Лист1!$D$2:$D$4</c:f>
            </c:numRef>
          </c:val>
          <c:shape val="cylinder"/>
          <c:extLst xmlns:c16r2="http://schemas.microsoft.com/office/drawing/2015/06/chart">
            <c:ext xmlns:c16="http://schemas.microsoft.com/office/drawing/2014/chart" uri="{C3380CC4-5D6E-409C-BE32-E72D297353CC}">
              <c16:uniqueId val="{00000005-5562-FD46-A6D4-48FE4DD627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22990160"/>
        <c:axId val="535494136"/>
        <c:axId val="0"/>
      </c:bar3DChart>
      <c:catAx>
        <c:axId val="22299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35494136"/>
        <c:crosses val="autoZero"/>
        <c:auto val="1"/>
        <c:lblAlgn val="ctr"/>
        <c:lblOffset val="100"/>
        <c:noMultiLvlLbl val="0"/>
      </c:catAx>
      <c:valAx>
        <c:axId val="535494136"/>
        <c:scaling>
          <c:orientation val="minMax"/>
        </c:scaling>
        <c:delete val="1"/>
        <c:axPos val="l"/>
        <c:numFmt formatCode="0.00%" sourceLinked="1"/>
        <c:majorTickMark val="out"/>
        <c:minorTickMark val="none"/>
        <c:tickLblPos val="none"/>
        <c:crossAx val="222990160"/>
        <c:crosses val="autoZero"/>
        <c:crossBetween val="between"/>
      </c:valAx>
      <c:spPr>
        <a:solidFill>
          <a:schemeClr val="bg1"/>
        </a:solidFill>
        <a:ln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.10829103214890017"/>
          <c:w val="0.96551724137931039"/>
          <c:h val="0.7635194585448392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75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  <c:pt idx="4">
                  <c:v>2018 год</c:v>
                </c:pt>
                <c:pt idx="5">
                  <c:v>2019 год</c:v>
                </c:pt>
                <c:pt idx="6">
                  <c:v>2020 год</c:v>
                </c:pt>
                <c:pt idx="7">
                  <c:v>2021 год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10.34</c:v>
                </c:pt>
                <c:pt idx="1">
                  <c:v>10.72</c:v>
                </c:pt>
                <c:pt idx="2">
                  <c:v>9.19</c:v>
                </c:pt>
                <c:pt idx="3">
                  <c:v>9.4</c:v>
                </c:pt>
                <c:pt idx="4">
                  <c:v>9.6</c:v>
                </c:pt>
                <c:pt idx="5">
                  <c:v>9.4499999999999993</c:v>
                </c:pt>
                <c:pt idx="6">
                  <c:v>8.8000000000000007</c:v>
                </c:pt>
                <c:pt idx="7">
                  <c:v>8.3000000000000007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9CF-4DEC-88A1-F096614C6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5494920"/>
        <c:axId val="535495312"/>
      </c:lineChart>
      <c:catAx>
        <c:axId val="535494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5495312"/>
        <c:crosses val="autoZero"/>
        <c:auto val="1"/>
        <c:lblAlgn val="ctr"/>
        <c:lblOffset val="100"/>
        <c:noMultiLvlLbl val="0"/>
      </c:catAx>
      <c:valAx>
        <c:axId val="5354953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354949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080708661417327E-2"/>
          <c:y val="0.13522840894888138"/>
          <c:w val="0.77262521872266043"/>
          <c:h val="0.733614235720535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50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 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1.38</c:v>
                </c:pt>
                <c:pt idx="1">
                  <c:v>0.95</c:v>
                </c:pt>
                <c:pt idx="2">
                  <c:v>1.3</c:v>
                </c:pt>
                <c:pt idx="3">
                  <c:v>1</c:v>
                </c:pt>
                <c:pt idx="4">
                  <c:v>1.3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34A-4BE9-9AFE-10260868AE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5496096"/>
        <c:axId val="535496488"/>
      </c:lineChart>
      <c:catAx>
        <c:axId val="53549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5496488"/>
        <c:crosses val="autoZero"/>
        <c:auto val="1"/>
        <c:lblAlgn val="ctr"/>
        <c:lblOffset val="100"/>
        <c:noMultiLvlLbl val="0"/>
      </c:catAx>
      <c:valAx>
        <c:axId val="5354964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354960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080708661417327E-2"/>
          <c:y val="0.13522840894888138"/>
          <c:w val="0.77262521872266066"/>
          <c:h val="0.733614235720535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50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 </c:v>
                </c:pt>
                <c:pt idx="5">
                  <c:v>2021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12.7</c:v>
                </c:pt>
                <c:pt idx="1">
                  <c:v>20.399999999999999</c:v>
                </c:pt>
                <c:pt idx="2">
                  <c:v>21.3</c:v>
                </c:pt>
                <c:pt idx="3">
                  <c:v>23</c:v>
                </c:pt>
                <c:pt idx="4">
                  <c:v>21</c:v>
                </c:pt>
                <c:pt idx="5">
                  <c:v>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E56-4DB9-9E0E-F29AD9BF8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2981872"/>
        <c:axId val="542982264"/>
      </c:lineChart>
      <c:catAx>
        <c:axId val="542981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2982264"/>
        <c:crosses val="autoZero"/>
        <c:auto val="1"/>
        <c:lblAlgn val="ctr"/>
        <c:lblOffset val="100"/>
        <c:noMultiLvlLbl val="0"/>
      </c:catAx>
      <c:valAx>
        <c:axId val="5429822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429818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080708661417327E-2"/>
          <c:y val="6.2500914658394968E-2"/>
          <c:w val="0.87729820688301807"/>
          <c:h val="0.7844485802910999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pPr>
              <a:solidFill>
                <a:schemeClr val="accent6">
                  <a:lumMod val="50000"/>
                </a:schemeClr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 </c:v>
                </c:pt>
                <c:pt idx="4">
                  <c:v>2020 год</c:v>
                </c:pt>
                <c:pt idx="5">
                  <c:v>2021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44</c:v>
                </c:pt>
                <c:pt idx="1">
                  <c:v>49</c:v>
                </c:pt>
                <c:pt idx="2">
                  <c:v>77.5</c:v>
                </c:pt>
                <c:pt idx="3">
                  <c:v>78.8</c:v>
                </c:pt>
                <c:pt idx="4">
                  <c:v>81</c:v>
                </c:pt>
                <c:pt idx="5">
                  <c:v>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054-4100-93F6-ED2EFB587F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2983048"/>
        <c:axId val="542983440"/>
      </c:lineChart>
      <c:catAx>
        <c:axId val="542983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42983440"/>
        <c:crosses val="autoZero"/>
        <c:auto val="1"/>
        <c:lblAlgn val="ctr"/>
        <c:lblOffset val="100"/>
        <c:noMultiLvlLbl val="0"/>
      </c:catAx>
      <c:valAx>
        <c:axId val="542983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4298304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FD25-8CFD-4725-8EFF-31640F93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11091</Words>
  <Characters>63219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Людмила Стукалова</cp:lastModifiedBy>
  <cp:revision>13</cp:revision>
  <cp:lastPrinted>2022-10-14T04:47:00Z</cp:lastPrinted>
  <dcterms:created xsi:type="dcterms:W3CDTF">2022-10-04T06:54:00Z</dcterms:created>
  <dcterms:modified xsi:type="dcterms:W3CDTF">2022-10-24T10:53:00Z</dcterms:modified>
</cp:coreProperties>
</file>