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EC" w:rsidRDefault="007449EC" w:rsidP="007449EC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49EC" w:rsidRDefault="007449EC" w:rsidP="007449EC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49EC" w:rsidRDefault="007449EC" w:rsidP="007449EC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49EC" w:rsidRDefault="007449EC" w:rsidP="007449E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49EC" w:rsidRDefault="007449EC" w:rsidP="007449EC">
      <w:pPr>
        <w:jc w:val="center"/>
        <w:rPr>
          <w:b/>
        </w:rPr>
      </w:pPr>
    </w:p>
    <w:p w:rsidR="007449EC" w:rsidRDefault="00582C4D" w:rsidP="007449EC">
      <w:pPr>
        <w:ind w:left="-426"/>
        <w:jc w:val="center"/>
      </w:pPr>
      <w:r>
        <w:t xml:space="preserve">         «</w:t>
      </w:r>
      <w:r w:rsidR="00793D2E">
        <w:t>03» октября</w:t>
      </w:r>
      <w:r w:rsidR="007449EC">
        <w:t xml:space="preserve"> 2017 г.                                                                                        № 0187300005817</w:t>
      </w:r>
      <w:r w:rsidR="00E12763">
        <w:t>0000</w:t>
      </w:r>
      <w:r w:rsidR="00793D2E">
        <w:t>34</w:t>
      </w:r>
      <w:r w:rsidR="00374E9F">
        <w:t>1</w:t>
      </w:r>
      <w:r w:rsidR="00E12763">
        <w:t>-</w:t>
      </w:r>
      <w:r w:rsidR="007449EC">
        <w:t>1</w:t>
      </w:r>
    </w:p>
    <w:p w:rsidR="00582C4D" w:rsidRPr="00FA6B4C" w:rsidRDefault="00582C4D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582C4D" w:rsidRPr="00FA6B4C" w:rsidRDefault="00582C4D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6B4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A6B4C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582C4D" w:rsidRPr="00FA6B4C" w:rsidRDefault="00582C4D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>1.</w:t>
      </w:r>
      <w:r w:rsidRPr="00FA6B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3D2E" w:rsidRPr="00FA6B4C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="00793D2E" w:rsidRPr="00FA6B4C">
        <w:rPr>
          <w:rFonts w:ascii="Times New Roman" w:hAnsi="Times New Roman"/>
          <w:sz w:val="24"/>
          <w:szCs w:val="24"/>
        </w:rPr>
        <w:t>Бандурин</w:t>
      </w:r>
      <w:proofErr w:type="spellEnd"/>
      <w:r w:rsidR="00793D2E" w:rsidRPr="00FA6B4C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="00793D2E" w:rsidRPr="00FA6B4C">
        <w:rPr>
          <w:rFonts w:ascii="Times New Roman" w:hAnsi="Times New Roman"/>
          <w:sz w:val="24"/>
          <w:szCs w:val="24"/>
        </w:rPr>
        <w:t>жилищно</w:t>
      </w:r>
      <w:proofErr w:type="spellEnd"/>
      <w:r w:rsidR="00793D2E" w:rsidRPr="00FA6B4C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793D2E" w:rsidRPr="00FA6B4C">
        <w:rPr>
          <w:rFonts w:ascii="Times New Roman" w:hAnsi="Times New Roman"/>
          <w:sz w:val="24"/>
          <w:szCs w:val="24"/>
        </w:rPr>
        <w:t>Югорска</w:t>
      </w:r>
      <w:proofErr w:type="spellEnd"/>
      <w:r w:rsidR="00793D2E" w:rsidRPr="00FA6B4C">
        <w:rPr>
          <w:rFonts w:ascii="Times New Roman" w:hAnsi="Times New Roman"/>
          <w:sz w:val="24"/>
          <w:szCs w:val="24"/>
        </w:rPr>
        <w:t>;</w:t>
      </w:r>
    </w:p>
    <w:p w:rsidR="00793D2E" w:rsidRPr="00FA6B4C" w:rsidRDefault="00FA6B4C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>2</w:t>
      </w:r>
      <w:r w:rsidR="00793D2E" w:rsidRPr="00FA6B4C">
        <w:rPr>
          <w:rFonts w:ascii="Times New Roman" w:hAnsi="Times New Roman"/>
          <w:sz w:val="24"/>
          <w:szCs w:val="24"/>
        </w:rPr>
        <w:t xml:space="preserve">. Ж.В. </w:t>
      </w:r>
      <w:proofErr w:type="spellStart"/>
      <w:r w:rsidR="00793D2E" w:rsidRPr="00FA6B4C">
        <w:rPr>
          <w:rFonts w:ascii="Times New Roman" w:hAnsi="Times New Roman"/>
          <w:sz w:val="24"/>
          <w:szCs w:val="24"/>
        </w:rPr>
        <w:t>Резинкина</w:t>
      </w:r>
      <w:proofErr w:type="spellEnd"/>
      <w:r w:rsidR="00793D2E" w:rsidRPr="00FA6B4C">
        <w:rPr>
          <w:rFonts w:ascii="Times New Roman" w:hAnsi="Times New Roman"/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793D2E" w:rsidRPr="00FA6B4C">
        <w:rPr>
          <w:rFonts w:ascii="Times New Roman" w:hAnsi="Times New Roman"/>
          <w:sz w:val="24"/>
          <w:szCs w:val="24"/>
        </w:rPr>
        <w:t>Югорска</w:t>
      </w:r>
      <w:proofErr w:type="spellEnd"/>
      <w:r w:rsidR="00793D2E" w:rsidRPr="00FA6B4C">
        <w:rPr>
          <w:rFonts w:ascii="Times New Roman" w:hAnsi="Times New Roman"/>
          <w:sz w:val="24"/>
          <w:szCs w:val="24"/>
        </w:rPr>
        <w:t>;</w:t>
      </w:r>
    </w:p>
    <w:p w:rsidR="00241C8F" w:rsidRPr="00FA6B4C" w:rsidRDefault="00FA6B4C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>3</w:t>
      </w:r>
      <w:r w:rsidR="00241C8F" w:rsidRPr="00FA6B4C">
        <w:rPr>
          <w:rFonts w:ascii="Times New Roman" w:hAnsi="Times New Roman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241C8F" w:rsidRPr="00FA6B4C">
        <w:rPr>
          <w:rFonts w:ascii="Times New Roman" w:hAnsi="Times New Roman"/>
          <w:sz w:val="24"/>
          <w:szCs w:val="24"/>
        </w:rPr>
        <w:t>Югорска</w:t>
      </w:r>
      <w:proofErr w:type="spellEnd"/>
      <w:r w:rsidR="00241C8F" w:rsidRPr="00FA6B4C">
        <w:rPr>
          <w:rFonts w:ascii="Times New Roman" w:hAnsi="Times New Roman"/>
          <w:sz w:val="24"/>
          <w:szCs w:val="24"/>
        </w:rPr>
        <w:t>;</w:t>
      </w:r>
    </w:p>
    <w:p w:rsidR="00582C4D" w:rsidRPr="00FA6B4C" w:rsidRDefault="00FA6B4C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>4</w:t>
      </w:r>
      <w:r w:rsidR="00582C4D" w:rsidRPr="00FA6B4C">
        <w:rPr>
          <w:rFonts w:ascii="Times New Roman" w:hAnsi="Times New Roman"/>
          <w:sz w:val="24"/>
          <w:szCs w:val="24"/>
        </w:rPr>
        <w:t xml:space="preserve">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="00582C4D" w:rsidRPr="00FA6B4C">
        <w:rPr>
          <w:rFonts w:ascii="Times New Roman" w:hAnsi="Times New Roman"/>
          <w:sz w:val="24"/>
          <w:szCs w:val="24"/>
        </w:rPr>
        <w:t>Югорска</w:t>
      </w:r>
      <w:proofErr w:type="spellEnd"/>
      <w:r w:rsidR="00582C4D" w:rsidRPr="00FA6B4C">
        <w:rPr>
          <w:rFonts w:ascii="Times New Roman" w:hAnsi="Times New Roman"/>
          <w:sz w:val="24"/>
          <w:szCs w:val="24"/>
        </w:rPr>
        <w:t>.</w:t>
      </w:r>
    </w:p>
    <w:p w:rsidR="00582C4D" w:rsidRPr="00FA6B4C" w:rsidRDefault="00582C4D" w:rsidP="001279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6B4C">
        <w:rPr>
          <w:rFonts w:ascii="Times New Roman" w:hAnsi="Times New Roman"/>
          <w:sz w:val="24"/>
          <w:szCs w:val="24"/>
        </w:rPr>
        <w:t xml:space="preserve">Всего присутствовали </w:t>
      </w:r>
      <w:r w:rsidR="00FA6B4C" w:rsidRPr="00FA6B4C">
        <w:rPr>
          <w:rFonts w:ascii="Times New Roman" w:hAnsi="Times New Roman"/>
          <w:sz w:val="24"/>
          <w:szCs w:val="24"/>
        </w:rPr>
        <w:t>4</w:t>
      </w:r>
      <w:r w:rsidRPr="00FA6B4C">
        <w:rPr>
          <w:rFonts w:ascii="Times New Roman" w:hAnsi="Times New Roman"/>
          <w:sz w:val="24"/>
          <w:szCs w:val="24"/>
        </w:rPr>
        <w:t xml:space="preserve"> член</w:t>
      </w:r>
      <w:r w:rsidR="00FA6B4C" w:rsidRPr="00FA6B4C">
        <w:rPr>
          <w:rFonts w:ascii="Times New Roman" w:hAnsi="Times New Roman"/>
          <w:sz w:val="24"/>
          <w:szCs w:val="24"/>
        </w:rPr>
        <w:t>а</w:t>
      </w:r>
      <w:r w:rsidRPr="00FA6B4C">
        <w:rPr>
          <w:rFonts w:ascii="Times New Roman" w:hAnsi="Times New Roman"/>
          <w:sz w:val="24"/>
          <w:szCs w:val="24"/>
        </w:rPr>
        <w:t xml:space="preserve"> комиссии из 8.</w:t>
      </w:r>
    </w:p>
    <w:p w:rsidR="00582C4D" w:rsidRDefault="00582C4D" w:rsidP="00127930">
      <w:pPr>
        <w:tabs>
          <w:tab w:val="num" w:pos="0"/>
          <w:tab w:val="num" w:pos="567"/>
        </w:tabs>
        <w:jc w:val="both"/>
      </w:pPr>
      <w:r w:rsidRPr="00FA6B4C">
        <w:t xml:space="preserve">Представитель заказчика: </w:t>
      </w:r>
      <w:r w:rsidR="00127930" w:rsidRPr="00FA6B4C">
        <w:t xml:space="preserve">Скороходова Людмила </w:t>
      </w:r>
      <w:proofErr w:type="spellStart"/>
      <w:r w:rsidR="00127930" w:rsidRPr="00FA6B4C">
        <w:t>Сабитовна</w:t>
      </w:r>
      <w:proofErr w:type="spellEnd"/>
      <w:r w:rsidRPr="00FA6B4C">
        <w:t>, специалист</w:t>
      </w:r>
      <w:r w:rsidR="00127930" w:rsidRPr="00FA6B4C">
        <w:t>-эксперт</w:t>
      </w:r>
      <w:r w:rsidRPr="00FA6B4C">
        <w:t xml:space="preserve">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FA6B4C">
        <w:t>Югорска</w:t>
      </w:r>
      <w:proofErr w:type="spellEnd"/>
      <w:r w:rsidRPr="00FA6B4C">
        <w:t>.</w:t>
      </w:r>
      <w:r>
        <w:t xml:space="preserve"> </w:t>
      </w:r>
    </w:p>
    <w:p w:rsidR="007449EC" w:rsidRDefault="007449EC" w:rsidP="00374E9F">
      <w:pPr>
        <w:jc w:val="both"/>
      </w:pPr>
      <w:r>
        <w:t>1. Наименование аукциона: аукцион в электронной</w:t>
      </w:r>
      <w:r w:rsidR="00374E9F">
        <w:t xml:space="preserve"> форме № 0187300005817000</w:t>
      </w:r>
      <w:r w:rsidR="00793D2E">
        <w:t>34</w:t>
      </w:r>
      <w:r w:rsidR="00374E9F">
        <w:t>1</w:t>
      </w:r>
      <w:r>
        <w:t xml:space="preserve"> </w:t>
      </w:r>
      <w:r w:rsidR="00793D2E" w:rsidRPr="00793D2E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proofErr w:type="spellStart"/>
      <w:r w:rsidR="00793D2E" w:rsidRPr="00793D2E">
        <w:t>металлодетекторов</w:t>
      </w:r>
      <w:proofErr w:type="spellEnd"/>
      <w:r w:rsidR="00793D2E" w:rsidRPr="00793D2E">
        <w:t xml:space="preserve"> на объект: «Физкультурно-спортивный комплекс с универсальным игровым залом в городе </w:t>
      </w:r>
      <w:proofErr w:type="spellStart"/>
      <w:r w:rsidR="00793D2E" w:rsidRPr="00793D2E">
        <w:t>Югорске</w:t>
      </w:r>
      <w:proofErr w:type="spellEnd"/>
      <w:r w:rsidR="00793D2E" w:rsidRPr="00793D2E">
        <w:t>».</w:t>
      </w:r>
    </w:p>
    <w:p w:rsidR="007449EC" w:rsidRDefault="007449EC" w:rsidP="00374E9F">
      <w:pPr>
        <w:jc w:val="both"/>
      </w:pPr>
      <w:r>
        <w:t xml:space="preserve">Номер извещения о проведении торгов на официальном сайте – </w:t>
      </w:r>
      <w:hyperlink r:id="rId6" w:history="1">
        <w:r w:rsidRPr="00374E9F">
          <w:t>http://zakupki.gov.ru/</w:t>
        </w:r>
      </w:hyperlink>
      <w:r>
        <w:t xml:space="preserve">, </w:t>
      </w:r>
      <w:r w:rsidR="00374E9F">
        <w:t xml:space="preserve">код аукциона </w:t>
      </w:r>
      <w:r w:rsidR="00374E9F" w:rsidRPr="00793D2E">
        <w:t>0187300005817000</w:t>
      </w:r>
      <w:r w:rsidR="00793D2E" w:rsidRPr="00793D2E">
        <w:t>34</w:t>
      </w:r>
      <w:r w:rsidR="00374E9F" w:rsidRPr="00793D2E">
        <w:t>1</w:t>
      </w:r>
      <w:r w:rsidR="002C1FF3" w:rsidRPr="00793D2E">
        <w:t xml:space="preserve">, дата публикации </w:t>
      </w:r>
      <w:r w:rsidR="00793D2E" w:rsidRPr="00793D2E">
        <w:t>15</w:t>
      </w:r>
      <w:r w:rsidR="002C1FF3" w:rsidRPr="00793D2E">
        <w:t>.0</w:t>
      </w:r>
      <w:r w:rsidR="00793D2E" w:rsidRPr="00793D2E">
        <w:t>9</w:t>
      </w:r>
      <w:r w:rsidRPr="00793D2E">
        <w:t xml:space="preserve">.2017.  Идентификационный код закупки: </w:t>
      </w:r>
      <w:r w:rsidR="00793D2E" w:rsidRPr="00793D2E">
        <w:t>173862201231086220100101320012790414</w:t>
      </w:r>
      <w:r w:rsidRPr="00793D2E">
        <w:t>.</w:t>
      </w:r>
    </w:p>
    <w:p w:rsidR="007449EC" w:rsidRDefault="007449EC" w:rsidP="00374E9F">
      <w:pPr>
        <w:jc w:val="both"/>
      </w:pPr>
      <w:r>
        <w:t xml:space="preserve">2. Заказчик: </w:t>
      </w:r>
      <w:r w:rsidR="00374E9F" w:rsidRPr="00374E9F">
        <w:t xml:space="preserve">Департамент жилищно-коммунального и строительного комплекса администрации города </w:t>
      </w:r>
      <w:proofErr w:type="spellStart"/>
      <w:r w:rsidR="00374E9F" w:rsidRPr="00374E9F">
        <w:t>Югорска</w:t>
      </w:r>
      <w:proofErr w:type="spellEnd"/>
      <w:r>
        <w:t xml:space="preserve">. Почтовый адрес: 628260, </w:t>
      </w:r>
      <w:r w:rsidR="00374E9F" w:rsidRPr="00374E9F">
        <w:t>ул. Механизаторов, 22</w:t>
      </w:r>
      <w:r>
        <w:t xml:space="preserve">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7449EC" w:rsidRDefault="007449EC" w:rsidP="00374E9F">
      <w:pPr>
        <w:jc w:val="both"/>
      </w:pPr>
      <w:r>
        <w:t>3. Процедура рассмотрения первых частей заявок на участие в аукционе была проведена</w:t>
      </w:r>
      <w:r w:rsidR="00374E9F">
        <w:t xml:space="preserve"> комиссией в 10.00 часов </w:t>
      </w:r>
      <w:r w:rsidR="00793D2E">
        <w:t>03</w:t>
      </w:r>
      <w:r>
        <w:t xml:space="preserve"> </w:t>
      </w:r>
      <w:r w:rsidR="00793D2E">
        <w:t>октября</w:t>
      </w:r>
      <w:r>
        <w:t xml:space="preserve">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7449EC" w:rsidRDefault="007449EC" w:rsidP="007449EC">
      <w:pPr>
        <w:ind w:left="142"/>
        <w:jc w:val="both"/>
      </w:pPr>
      <w:r>
        <w:t xml:space="preserve">4. Количество поступивших заявок на участие  в аукционе – </w:t>
      </w:r>
      <w:r w:rsidR="00127930" w:rsidRPr="00127930">
        <w:t>3</w:t>
      </w:r>
      <w:r w:rsidRPr="00127930">
        <w:t>.</w:t>
      </w:r>
      <w:r w:rsidR="00127930">
        <w:t xml:space="preserve"> Отозвана заявка № </w:t>
      </w:r>
      <w:r w:rsidR="00FA6B4C">
        <w:t>3</w:t>
      </w:r>
      <w:r w:rsidR="00127930">
        <w:t>.</w:t>
      </w:r>
    </w:p>
    <w:p w:rsidR="007449EC" w:rsidRDefault="007449EC" w:rsidP="007449EC">
      <w:pPr>
        <w:ind w:left="142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921" w:type="pct"/>
        <w:tblInd w:w="157" w:type="dxa"/>
        <w:tblLook w:val="00A0" w:firstRow="1" w:lastRow="0" w:firstColumn="1" w:lastColumn="0" w:noHBand="0" w:noVBand="0"/>
      </w:tblPr>
      <w:tblGrid>
        <w:gridCol w:w="1702"/>
        <w:gridCol w:w="2693"/>
        <w:gridCol w:w="6377"/>
      </w:tblGrid>
      <w:tr w:rsidR="007449EC" w:rsidTr="00FA6B4C">
        <w:trPr>
          <w:trHeight w:val="462"/>
        </w:trPr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Pr="00FA6B4C" w:rsidRDefault="007449EC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6B4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Pr="00FA6B4C" w:rsidRDefault="007449EC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6B4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Pr="00FA6B4C" w:rsidRDefault="007449EC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6B4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49EC" w:rsidTr="00FA6B4C">
        <w:trPr>
          <w:trHeight w:val="530"/>
        </w:trPr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CD785E" w:rsidRDefault="007449EC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D785E"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9EC" w:rsidRPr="00CD785E" w:rsidRDefault="00CD785E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D785E">
              <w:rPr>
                <w:spacing w:val="-6"/>
                <w:sz w:val="18"/>
                <w:szCs w:val="18"/>
              </w:rPr>
              <w:t>допустить к участию в аукционе</w:t>
            </w:r>
            <w:r w:rsidR="00127930">
              <w:rPr>
                <w:spacing w:val="-6"/>
                <w:sz w:val="18"/>
                <w:szCs w:val="18"/>
              </w:rPr>
              <w:t xml:space="preserve"> и признать участником аукциона</w:t>
            </w:r>
          </w:p>
        </w:tc>
        <w:tc>
          <w:tcPr>
            <w:tcW w:w="2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9EC" w:rsidRPr="00793D2E" w:rsidRDefault="007449EC">
            <w:pPr>
              <w:widowControl w:val="0"/>
              <w:jc w:val="both"/>
              <w:rPr>
                <w:color w:val="FF0000"/>
                <w:spacing w:val="-6"/>
                <w:sz w:val="18"/>
                <w:szCs w:val="18"/>
                <w:lang w:eastAsia="en-US"/>
              </w:rPr>
            </w:pPr>
          </w:p>
        </w:tc>
      </w:tr>
      <w:tr w:rsidR="007449EC" w:rsidTr="00FA6B4C">
        <w:trPr>
          <w:trHeight w:val="112"/>
        </w:trPr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6A590D" w:rsidRDefault="006A590D">
            <w:pPr>
              <w:spacing w:line="276" w:lineRule="auto"/>
              <w:jc w:val="center"/>
              <w:rPr>
                <w:lang w:eastAsia="en-US"/>
              </w:rPr>
            </w:pPr>
            <w:r w:rsidRPr="006A590D">
              <w:rPr>
                <w:lang w:eastAsia="en-US"/>
              </w:rPr>
              <w:t>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6A590D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6A590D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590D" w:rsidRPr="00FA6B4C" w:rsidRDefault="006A590D" w:rsidP="006A590D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FA6B4C">
              <w:rPr>
                <w:noProof/>
                <w:sz w:val="20"/>
                <w:szCs w:val="20"/>
              </w:rPr>
              <w:t xml:space="preserve">На основании  подпункта 1)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 </w:t>
            </w:r>
          </w:p>
          <w:p w:rsidR="006A590D" w:rsidRPr="00FA6B4C" w:rsidRDefault="006A590D" w:rsidP="00FA6B4C">
            <w:pPr>
              <w:snapToGrid w:val="0"/>
              <w:ind w:right="126"/>
              <w:jc w:val="both"/>
              <w:rPr>
                <w:sz w:val="20"/>
                <w:szCs w:val="20"/>
                <w:lang w:eastAsia="ru-RU"/>
              </w:rPr>
            </w:pPr>
            <w:r w:rsidRPr="00FA6B4C">
              <w:rPr>
                <w:noProof/>
                <w:sz w:val="20"/>
                <w:szCs w:val="20"/>
              </w:rPr>
              <w:t xml:space="preserve">- пункт 1: </w:t>
            </w:r>
            <w:r w:rsidRPr="00FA6B4C">
              <w:rPr>
                <w:sz w:val="20"/>
                <w:szCs w:val="20"/>
                <w:lang w:eastAsia="ru-RU"/>
              </w:rPr>
              <w:t>в заявке участника отсутствует характеристика  товара «</w:t>
            </w:r>
            <w:r w:rsidRPr="00FA6B4C">
              <w:rPr>
                <w:b/>
                <w:sz w:val="20"/>
                <w:szCs w:val="20"/>
                <w:lang w:eastAsia="ru-RU"/>
              </w:rPr>
              <w:t>опция не менее 820 мм»;</w:t>
            </w:r>
          </w:p>
          <w:p w:rsidR="006A590D" w:rsidRPr="00FA6B4C" w:rsidRDefault="006A590D" w:rsidP="00127930">
            <w:pPr>
              <w:ind w:right="127"/>
              <w:jc w:val="both"/>
              <w:rPr>
                <w:noProof/>
                <w:sz w:val="20"/>
                <w:szCs w:val="20"/>
              </w:rPr>
            </w:pPr>
            <w:r w:rsidRPr="00FA6B4C">
              <w:rPr>
                <w:noProof/>
                <w:sz w:val="20"/>
                <w:szCs w:val="20"/>
              </w:rPr>
              <w:t>На основании  подпункта 2)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127930" w:rsidRPr="00FA6B4C" w:rsidRDefault="006A590D" w:rsidP="00127930">
            <w:pPr>
              <w:snapToGrid w:val="0"/>
              <w:ind w:right="156"/>
              <w:jc w:val="both"/>
              <w:rPr>
                <w:sz w:val="20"/>
                <w:szCs w:val="20"/>
              </w:rPr>
            </w:pPr>
            <w:r w:rsidRPr="00FA6B4C">
              <w:rPr>
                <w:noProof/>
                <w:sz w:val="20"/>
                <w:szCs w:val="20"/>
              </w:rPr>
              <w:t xml:space="preserve">- пункт 1: </w:t>
            </w:r>
            <w:bookmarkStart w:id="0" w:name="_GoBack"/>
            <w:bookmarkEnd w:id="0"/>
            <w:r w:rsidR="00127930" w:rsidRPr="00FA6B4C">
              <w:rPr>
                <w:sz w:val="20"/>
                <w:szCs w:val="20"/>
              </w:rPr>
              <w:t>в техническом задании документации об аукционе требуется «</w:t>
            </w:r>
            <w:r w:rsidR="00127930" w:rsidRPr="00FA6B4C">
              <w:rPr>
                <w:b/>
                <w:sz w:val="20"/>
                <w:szCs w:val="20"/>
                <w:lang w:eastAsia="ru-RU"/>
              </w:rPr>
              <w:t>Питание в диапазоне 115-230В»,</w:t>
            </w:r>
            <w:r w:rsidR="00127930" w:rsidRPr="00FA6B4C">
              <w:rPr>
                <w:sz w:val="20"/>
                <w:szCs w:val="20"/>
              </w:rPr>
              <w:t xml:space="preserve"> в заявке участника закупки предоставлены характеристики товара «</w:t>
            </w:r>
            <w:r w:rsidR="00127930" w:rsidRPr="00FA6B4C">
              <w:rPr>
                <w:b/>
                <w:sz w:val="20"/>
                <w:szCs w:val="20"/>
                <w:lang w:eastAsia="ru-RU"/>
              </w:rPr>
              <w:t>Питание 230</w:t>
            </w:r>
            <w:proofErr w:type="gramStart"/>
            <w:r w:rsidR="00127930" w:rsidRPr="00FA6B4C">
              <w:rPr>
                <w:b/>
                <w:sz w:val="20"/>
                <w:szCs w:val="20"/>
                <w:lang w:eastAsia="ru-RU"/>
              </w:rPr>
              <w:t xml:space="preserve"> В</w:t>
            </w:r>
            <w:proofErr w:type="gramEnd"/>
            <w:r w:rsidR="00127930" w:rsidRPr="00FA6B4C">
              <w:rPr>
                <w:sz w:val="20"/>
                <w:szCs w:val="20"/>
                <w:lang w:eastAsia="ru-RU"/>
              </w:rPr>
              <w:t>» (отсутствуют диапазонные значения показателя).</w:t>
            </w:r>
          </w:p>
          <w:p w:rsidR="006A590D" w:rsidRPr="00FA6B4C" w:rsidRDefault="006A590D" w:rsidP="00127930">
            <w:pPr>
              <w:ind w:right="156"/>
              <w:jc w:val="both"/>
              <w:rPr>
                <w:noProof/>
                <w:sz w:val="20"/>
                <w:szCs w:val="20"/>
              </w:rPr>
            </w:pPr>
            <w:r w:rsidRPr="00FA6B4C">
              <w:rPr>
                <w:noProof/>
                <w:sz w:val="20"/>
                <w:szCs w:val="20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FA6B4C">
              <w:rPr>
                <w:noProof/>
                <w:sz w:val="20"/>
                <w:szCs w:val="20"/>
                <w:lang w:val="en-US"/>
              </w:rPr>
              <w:t>II</w:t>
            </w:r>
            <w:r w:rsidRPr="00FA6B4C">
              <w:rPr>
                <w:noProof/>
                <w:sz w:val="20"/>
                <w:szCs w:val="20"/>
              </w:rPr>
              <w:t>. Техническое задание.</w:t>
            </w:r>
          </w:p>
          <w:p w:rsidR="007449EC" w:rsidRPr="00793D2E" w:rsidRDefault="006A590D" w:rsidP="00127930">
            <w:pPr>
              <w:ind w:right="156"/>
              <w:jc w:val="both"/>
              <w:rPr>
                <w:noProof/>
                <w:color w:val="FF0000"/>
                <w:sz w:val="18"/>
                <w:szCs w:val="18"/>
              </w:rPr>
            </w:pPr>
            <w:r w:rsidRPr="00FA6B4C">
              <w:rPr>
                <w:noProof/>
                <w:sz w:val="20"/>
                <w:szCs w:val="20"/>
              </w:rPr>
              <w:lastRenderedPageBreak/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EE5AC5" w:rsidTr="00FA6B4C">
        <w:trPr>
          <w:trHeight w:val="112"/>
        </w:trPr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793D2E" w:rsidRDefault="0012793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793D2E" w:rsidRDefault="00127930">
            <w:pPr>
              <w:spacing w:line="276" w:lineRule="auto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D785E">
              <w:rPr>
                <w:spacing w:val="-6"/>
                <w:sz w:val="18"/>
                <w:szCs w:val="18"/>
              </w:rPr>
              <w:t>допустить к участию в аукционе</w:t>
            </w:r>
            <w:r>
              <w:rPr>
                <w:spacing w:val="-6"/>
                <w:sz w:val="18"/>
                <w:szCs w:val="18"/>
              </w:rPr>
              <w:t xml:space="preserve"> и признать участником аукциона</w:t>
            </w:r>
          </w:p>
        </w:tc>
        <w:tc>
          <w:tcPr>
            <w:tcW w:w="2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793D2E" w:rsidRDefault="00EE5AC5" w:rsidP="00545140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</w:tbl>
    <w:p w:rsidR="007449EC" w:rsidRDefault="007449EC" w:rsidP="007449EC">
      <w:pPr>
        <w:tabs>
          <w:tab w:val="left" w:pos="426"/>
          <w:tab w:val="left" w:pos="567"/>
        </w:tabs>
        <w:jc w:val="both"/>
      </w:pPr>
    </w:p>
    <w:p w:rsidR="007449EC" w:rsidRDefault="00545140" w:rsidP="007449EC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49EC">
        <w:rPr>
          <w:rFonts w:ascii="Times New Roman" w:hAnsi="Times New Roman"/>
          <w:sz w:val="24"/>
          <w:szCs w:val="24"/>
        </w:rPr>
        <w:t xml:space="preserve">. Настоящий протокол подлежит размещению на сайте оператора электронной площадки   </w:t>
      </w:r>
      <w:hyperlink r:id="rId7" w:history="1">
        <w:r w:rsidR="007449EC"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 w:rsidR="007449EC">
        <w:rPr>
          <w:rFonts w:ascii="Times New Roman" w:hAnsi="Times New Roman"/>
          <w:sz w:val="24"/>
          <w:szCs w:val="24"/>
        </w:rPr>
        <w:t>.</w:t>
      </w:r>
    </w:p>
    <w:p w:rsidR="007449EC" w:rsidRDefault="007449EC" w:rsidP="007449EC">
      <w:pPr>
        <w:rPr>
          <w:noProof/>
        </w:rPr>
      </w:pP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к участию в аукционе </w:t>
      </w: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p w:rsidR="007449EC" w:rsidRDefault="007449EC" w:rsidP="007449EC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793D2E" w:rsidRPr="008341B8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2E" w:rsidRPr="008341B8" w:rsidRDefault="00793D2E">
            <w:pPr>
              <w:spacing w:after="60" w:line="276" w:lineRule="auto"/>
              <w:rPr>
                <w:noProof/>
                <w:sz w:val="16"/>
                <w:szCs w:val="16"/>
                <w:lang w:eastAsia="en-US"/>
              </w:rPr>
            </w:pPr>
            <w:r w:rsidRPr="008341B8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2E" w:rsidRPr="008341B8" w:rsidRDefault="00793D2E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2E" w:rsidRPr="008341B8" w:rsidRDefault="00793D2E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8341B8">
              <w:rPr>
                <w:noProof/>
                <w:lang w:eastAsia="en-US"/>
              </w:rPr>
              <w:t>В.К. Бандурин</w:t>
            </w:r>
          </w:p>
        </w:tc>
      </w:tr>
      <w:tr w:rsidR="007449EC" w:rsidRPr="008341B8" w:rsidTr="00793D2E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EC" w:rsidRPr="008341B8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341B8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Pr="008341B8" w:rsidRDefault="007449E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Pr="008341B8" w:rsidRDefault="00793D2E">
            <w:pPr>
              <w:spacing w:line="276" w:lineRule="auto"/>
              <w:jc w:val="center"/>
              <w:rPr>
                <w:lang w:eastAsia="en-US"/>
              </w:rPr>
            </w:pPr>
            <w:r w:rsidRPr="008341B8">
              <w:rPr>
                <w:lang w:eastAsia="en-US"/>
              </w:rPr>
              <w:t xml:space="preserve">Ж.В. </w:t>
            </w:r>
            <w:proofErr w:type="spellStart"/>
            <w:r w:rsidRPr="008341B8">
              <w:rPr>
                <w:lang w:eastAsia="en-US"/>
              </w:rPr>
              <w:t>Резинкина</w:t>
            </w:r>
            <w:proofErr w:type="spellEnd"/>
          </w:p>
        </w:tc>
      </w:tr>
      <w:tr w:rsidR="007449EC" w:rsidRPr="008341B8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Pr="008341B8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341B8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Pr="008341B8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Pr="008341B8" w:rsidRDefault="007449EC">
            <w:pPr>
              <w:spacing w:line="276" w:lineRule="auto"/>
              <w:jc w:val="center"/>
              <w:rPr>
                <w:lang w:eastAsia="en-US"/>
              </w:rPr>
            </w:pPr>
            <w:r w:rsidRPr="008341B8">
              <w:rPr>
                <w:lang w:eastAsia="en-US"/>
              </w:rPr>
              <w:t>А.Т. Абдуллаев</w:t>
            </w:r>
          </w:p>
        </w:tc>
      </w:tr>
      <w:tr w:rsidR="007449EC" w:rsidRPr="008341B8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EC" w:rsidRPr="008341B8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341B8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Pr="008341B8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Pr="008341B8" w:rsidRDefault="007449EC">
            <w:pPr>
              <w:spacing w:line="276" w:lineRule="auto"/>
              <w:jc w:val="center"/>
              <w:rPr>
                <w:lang w:eastAsia="en-US"/>
              </w:rPr>
            </w:pPr>
            <w:r w:rsidRPr="008341B8">
              <w:rPr>
                <w:lang w:eastAsia="en-US"/>
              </w:rPr>
              <w:t>Н.Б. Захарова</w:t>
            </w:r>
          </w:p>
        </w:tc>
      </w:tr>
    </w:tbl>
    <w:p w:rsidR="007449EC" w:rsidRPr="008341B8" w:rsidRDefault="007449EC" w:rsidP="007449EC">
      <w:pPr>
        <w:rPr>
          <w:b/>
        </w:rPr>
      </w:pPr>
    </w:p>
    <w:p w:rsidR="007449EC" w:rsidRPr="008341B8" w:rsidRDefault="007449EC" w:rsidP="007449EC">
      <w:pPr>
        <w:ind w:left="284"/>
        <w:rPr>
          <w:b/>
        </w:rPr>
      </w:pPr>
    </w:p>
    <w:p w:rsidR="00DF0D4B" w:rsidRPr="008341B8" w:rsidRDefault="00DF0D4B" w:rsidP="007449EC">
      <w:pPr>
        <w:ind w:left="142"/>
        <w:jc w:val="both"/>
        <w:rPr>
          <w:b/>
        </w:rPr>
      </w:pPr>
      <w:r w:rsidRPr="008341B8">
        <w:rPr>
          <w:b/>
        </w:rPr>
        <w:t>Заместитель п</w:t>
      </w:r>
      <w:r w:rsidR="007449EC" w:rsidRPr="008341B8">
        <w:rPr>
          <w:b/>
        </w:rPr>
        <w:t>редседател</w:t>
      </w:r>
      <w:r w:rsidRPr="008341B8">
        <w:rPr>
          <w:b/>
        </w:rPr>
        <w:t>я</w:t>
      </w:r>
      <w:r w:rsidR="007449EC" w:rsidRPr="008341B8">
        <w:rPr>
          <w:b/>
        </w:rPr>
        <w:t xml:space="preserve"> комиссии:                       </w:t>
      </w:r>
      <w:r w:rsidRPr="008341B8">
        <w:rPr>
          <w:b/>
        </w:rPr>
        <w:t xml:space="preserve">                        В.К. </w:t>
      </w:r>
      <w:proofErr w:type="spellStart"/>
      <w:r w:rsidRPr="008341B8">
        <w:rPr>
          <w:b/>
        </w:rPr>
        <w:t>Бандурин</w:t>
      </w:r>
      <w:proofErr w:type="spellEnd"/>
      <w:r w:rsidR="007449EC" w:rsidRPr="008341B8">
        <w:rPr>
          <w:b/>
        </w:rPr>
        <w:t xml:space="preserve">     </w:t>
      </w:r>
    </w:p>
    <w:p w:rsidR="007449EC" w:rsidRPr="008341B8" w:rsidRDefault="007449EC" w:rsidP="007449EC">
      <w:pPr>
        <w:ind w:left="142"/>
        <w:jc w:val="both"/>
        <w:rPr>
          <w:b/>
        </w:rPr>
      </w:pPr>
      <w:r w:rsidRPr="008341B8">
        <w:rPr>
          <w:b/>
        </w:rPr>
        <w:t xml:space="preserve">                                                    </w:t>
      </w:r>
    </w:p>
    <w:p w:rsidR="007449EC" w:rsidRPr="008341B8" w:rsidRDefault="007449EC" w:rsidP="007449EC">
      <w:pPr>
        <w:ind w:left="142"/>
        <w:rPr>
          <w:b/>
        </w:rPr>
      </w:pPr>
      <w:r w:rsidRPr="008341B8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93D2E" w:rsidRPr="008341B8" w:rsidRDefault="00793D2E" w:rsidP="00582C4D">
      <w:pPr>
        <w:jc w:val="right"/>
      </w:pPr>
    </w:p>
    <w:p w:rsidR="007449EC" w:rsidRPr="008341B8" w:rsidRDefault="007449EC" w:rsidP="00793D2E">
      <w:pPr>
        <w:ind w:left="142"/>
        <w:jc w:val="right"/>
      </w:pPr>
      <w:r w:rsidRPr="008341B8">
        <w:t xml:space="preserve">                                                                ____________________</w:t>
      </w:r>
      <w:r w:rsidR="00793D2E" w:rsidRPr="008341B8">
        <w:t xml:space="preserve">Ж.В. </w:t>
      </w:r>
      <w:proofErr w:type="spellStart"/>
      <w:r w:rsidR="00793D2E" w:rsidRPr="008341B8">
        <w:t>Резинкина</w:t>
      </w:r>
      <w:proofErr w:type="spellEnd"/>
    </w:p>
    <w:p w:rsidR="007449EC" w:rsidRPr="008341B8" w:rsidRDefault="007449EC" w:rsidP="007449EC">
      <w:pPr>
        <w:ind w:left="142"/>
        <w:jc w:val="right"/>
      </w:pPr>
      <w:r w:rsidRPr="008341B8">
        <w:tab/>
      </w:r>
      <w:r w:rsidRPr="008341B8">
        <w:tab/>
      </w:r>
      <w:r w:rsidRPr="008341B8">
        <w:tab/>
      </w:r>
      <w:r w:rsidRPr="008341B8">
        <w:tab/>
      </w:r>
      <w:r w:rsidRPr="008341B8">
        <w:tab/>
      </w:r>
      <w:r w:rsidRPr="008341B8">
        <w:tab/>
      </w:r>
      <w:r w:rsidRPr="008341B8">
        <w:tab/>
        <w:t xml:space="preserve">  ___________________ А.Т. Абдуллаев </w:t>
      </w:r>
    </w:p>
    <w:p w:rsidR="007449EC" w:rsidRPr="008341B8" w:rsidRDefault="007449EC" w:rsidP="007449EC">
      <w:pPr>
        <w:ind w:left="142"/>
        <w:jc w:val="right"/>
      </w:pPr>
      <w:r w:rsidRPr="008341B8">
        <w:t>____________________Н.Б. Захарова</w:t>
      </w:r>
    </w:p>
    <w:p w:rsidR="007449EC" w:rsidRPr="008341B8" w:rsidRDefault="007449EC" w:rsidP="007449EC">
      <w:pPr>
        <w:ind w:left="142"/>
      </w:pPr>
    </w:p>
    <w:p w:rsidR="007449EC" w:rsidRPr="008341B8" w:rsidRDefault="007449EC" w:rsidP="007449EC">
      <w:pPr>
        <w:ind w:left="142"/>
      </w:pPr>
      <w:r w:rsidRPr="008341B8">
        <w:t xml:space="preserve"> </w:t>
      </w:r>
    </w:p>
    <w:p w:rsidR="007449EC" w:rsidRDefault="007449EC" w:rsidP="007449EC">
      <w:pPr>
        <w:ind w:left="142"/>
      </w:pPr>
      <w:r w:rsidRPr="008341B8">
        <w:t>Представитель заказчика:                                                            ________________</w:t>
      </w:r>
      <w:r w:rsidR="00241C8F" w:rsidRPr="008341B8">
        <w:t>Л.С. Скороходова</w:t>
      </w: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EE5AC5">
      <w:pPr>
        <w:ind w:right="-174"/>
        <w:jc w:val="right"/>
        <w:rPr>
          <w:sz w:val="16"/>
          <w:szCs w:val="16"/>
        </w:rPr>
      </w:pPr>
    </w:p>
    <w:p w:rsidR="00931BB6" w:rsidRDefault="00931BB6" w:rsidP="00DF0D4B">
      <w:pPr>
        <w:ind w:right="-174"/>
        <w:rPr>
          <w:sz w:val="16"/>
          <w:szCs w:val="16"/>
        </w:rPr>
      </w:pPr>
    </w:p>
    <w:p w:rsidR="00931BB6" w:rsidRDefault="00931BB6" w:rsidP="006A590D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</w:t>
      </w:r>
      <w:r w:rsidR="006A590D">
        <w:rPr>
          <w:sz w:val="16"/>
          <w:szCs w:val="16"/>
        </w:rPr>
        <w:t xml:space="preserve">              </w:t>
      </w:r>
    </w:p>
    <w:p w:rsidR="00931BB6" w:rsidRPr="006421D7" w:rsidRDefault="00931BB6" w:rsidP="00931BB6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="006A590D">
        <w:rPr>
          <w:sz w:val="16"/>
          <w:szCs w:val="16"/>
        </w:rPr>
        <w:t xml:space="preserve">Приложение </w:t>
      </w:r>
    </w:p>
    <w:p w:rsidR="00931BB6" w:rsidRDefault="00931BB6" w:rsidP="00931BB6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931BB6" w:rsidRPr="006421D7" w:rsidRDefault="00931BB6" w:rsidP="00931BB6">
      <w:pPr>
        <w:tabs>
          <w:tab w:val="left" w:pos="3930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931BB6" w:rsidRPr="006421D7" w:rsidRDefault="00931BB6" w:rsidP="00931BB6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«03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октября  2017 г. № 0187300005817000341-1</w:t>
      </w:r>
    </w:p>
    <w:p w:rsidR="00931BB6" w:rsidRPr="00C12BA8" w:rsidRDefault="00931BB6" w:rsidP="00931BB6">
      <w:pPr>
        <w:ind w:left="-426"/>
        <w:jc w:val="center"/>
        <w:rPr>
          <w:color w:val="000000"/>
          <w:sz w:val="18"/>
          <w:szCs w:val="18"/>
        </w:rPr>
      </w:pPr>
      <w:r w:rsidRPr="00C12BA8">
        <w:rPr>
          <w:color w:val="000000"/>
          <w:sz w:val="18"/>
          <w:szCs w:val="18"/>
        </w:rPr>
        <w:t>Таблица рассмотрения заявок</w:t>
      </w:r>
    </w:p>
    <w:p w:rsidR="00931BB6" w:rsidRPr="00C12BA8" w:rsidRDefault="00931BB6" w:rsidP="00931BB6">
      <w:pPr>
        <w:suppressAutoHyphens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C12BA8">
        <w:rPr>
          <w:color w:val="000000"/>
          <w:sz w:val="18"/>
          <w:szCs w:val="18"/>
        </w:rPr>
        <w:t>на участие в аукционе в электронной форме</w:t>
      </w:r>
      <w:r w:rsidRPr="00C12BA8">
        <w:rPr>
          <w:bCs/>
          <w:sz w:val="18"/>
          <w:szCs w:val="18"/>
        </w:rPr>
        <w:t xml:space="preserve"> </w:t>
      </w:r>
      <w:r w:rsidRPr="00C12BA8">
        <w:rPr>
          <w:color w:val="000000"/>
          <w:sz w:val="18"/>
          <w:szCs w:val="18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поставку </w:t>
      </w:r>
      <w:proofErr w:type="spellStart"/>
      <w:r w:rsidRPr="00C12BA8">
        <w:rPr>
          <w:color w:val="000000"/>
          <w:sz w:val="18"/>
          <w:szCs w:val="18"/>
        </w:rPr>
        <w:t>металлодетекторов</w:t>
      </w:r>
      <w:proofErr w:type="spellEnd"/>
      <w:r w:rsidRPr="00C12BA8">
        <w:rPr>
          <w:color w:val="000000"/>
          <w:sz w:val="18"/>
          <w:szCs w:val="18"/>
        </w:rPr>
        <w:t xml:space="preserve"> на объект: «Физкультурно-спортивный комплекс с универсальным игровым залом в городе </w:t>
      </w:r>
      <w:proofErr w:type="spellStart"/>
      <w:r w:rsidRPr="00C12BA8">
        <w:rPr>
          <w:color w:val="000000"/>
          <w:sz w:val="18"/>
          <w:szCs w:val="18"/>
        </w:rPr>
        <w:t>Югорске</w:t>
      </w:r>
      <w:proofErr w:type="spellEnd"/>
      <w:r w:rsidRPr="00C12BA8">
        <w:rPr>
          <w:color w:val="000000"/>
          <w:sz w:val="18"/>
          <w:szCs w:val="18"/>
        </w:rPr>
        <w:t>».</w:t>
      </w:r>
    </w:p>
    <w:p w:rsidR="00931BB6" w:rsidRPr="00153296" w:rsidRDefault="00931BB6" w:rsidP="00931BB6">
      <w:pPr>
        <w:suppressAutoHyphens w:val="0"/>
        <w:autoSpaceDE w:val="0"/>
        <w:autoSpaceDN w:val="0"/>
        <w:adjustRightInd w:val="0"/>
        <w:jc w:val="center"/>
        <w:rPr>
          <w:color w:val="000000"/>
          <w:sz w:val="10"/>
          <w:szCs w:val="10"/>
        </w:rPr>
      </w:pPr>
    </w:p>
    <w:p w:rsidR="00931BB6" w:rsidRPr="0040527A" w:rsidRDefault="0000635A" w:rsidP="00931BB6">
      <w:pPr>
        <w:suppressAutoHyphens w:val="0"/>
        <w:autoSpaceDE w:val="0"/>
        <w:autoSpaceDN w:val="0"/>
        <w:adjustRightInd w:val="0"/>
        <w:ind w:left="-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931BB6" w:rsidRPr="0040527A">
        <w:rPr>
          <w:color w:val="000000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931BB6" w:rsidRPr="0040527A">
        <w:rPr>
          <w:color w:val="000000"/>
          <w:sz w:val="20"/>
          <w:szCs w:val="20"/>
        </w:rPr>
        <w:t>Югорска</w:t>
      </w:r>
      <w:proofErr w:type="spellEnd"/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763"/>
        <w:gridCol w:w="2085"/>
        <w:gridCol w:w="1609"/>
        <w:gridCol w:w="2188"/>
        <w:gridCol w:w="1751"/>
      </w:tblGrid>
      <w:tr w:rsidR="00931BB6" w:rsidRPr="00C12BA8" w:rsidTr="004479B3">
        <w:trPr>
          <w:trHeight w:val="201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B6" w:rsidRPr="00C12BA8" w:rsidRDefault="00931BB6" w:rsidP="004479B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12BA8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B6" w:rsidRPr="00C12BA8" w:rsidRDefault="00931BB6" w:rsidP="004479B3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12BA8">
              <w:rPr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B6" w:rsidRPr="00C12BA8" w:rsidRDefault="00931BB6" w:rsidP="004479B3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12BA8">
              <w:rPr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B6" w:rsidRPr="00C12BA8" w:rsidRDefault="00931BB6" w:rsidP="004479B3">
            <w:pPr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rFonts w:eastAsia="Calibri"/>
                <w:sz w:val="16"/>
                <w:szCs w:val="16"/>
              </w:rPr>
              <w:t>Номер заявки</w:t>
            </w:r>
          </w:p>
        </w:tc>
      </w:tr>
      <w:tr w:rsidR="00931BB6" w:rsidRPr="00C12BA8" w:rsidTr="008341B8">
        <w:trPr>
          <w:trHeight w:val="205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B6" w:rsidRPr="00C12BA8" w:rsidRDefault="00931BB6" w:rsidP="004479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B6" w:rsidRPr="00C12BA8" w:rsidRDefault="00931BB6" w:rsidP="004479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B6" w:rsidRPr="00C12BA8" w:rsidRDefault="00931BB6" w:rsidP="004479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31BB6" w:rsidRPr="00C12BA8" w:rsidRDefault="00931BB6" w:rsidP="004479B3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Заявка №1</w:t>
            </w:r>
          </w:p>
        </w:tc>
        <w:tc>
          <w:tcPr>
            <w:tcW w:w="990" w:type="pct"/>
            <w:vAlign w:val="center"/>
          </w:tcPr>
          <w:p w:rsidR="00931BB6" w:rsidRPr="00C12BA8" w:rsidRDefault="00931BB6" w:rsidP="004479B3">
            <w:pPr>
              <w:suppressAutoHyphens w:val="0"/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Заявка №2</w:t>
            </w:r>
          </w:p>
        </w:tc>
        <w:tc>
          <w:tcPr>
            <w:tcW w:w="792" w:type="pct"/>
          </w:tcPr>
          <w:p w:rsidR="00931BB6" w:rsidRPr="00C12BA8" w:rsidRDefault="00931BB6" w:rsidP="004479B3">
            <w:pPr>
              <w:suppressAutoHyphens w:val="0"/>
              <w:jc w:val="center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Заявка №4</w:t>
            </w:r>
          </w:p>
        </w:tc>
      </w:tr>
      <w:tr w:rsidR="00931BB6" w:rsidRPr="00C12BA8" w:rsidTr="008341B8">
        <w:trPr>
          <w:trHeight w:val="1803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BB6" w:rsidRPr="00C12BA8" w:rsidRDefault="00931BB6" w:rsidP="004479B3">
            <w:pPr>
              <w:snapToGrid w:val="0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931BB6" w:rsidRPr="00C12BA8" w:rsidRDefault="00931BB6" w:rsidP="00DF0D4B">
            <w:pPr>
              <w:snapToGrid w:val="0"/>
              <w:rPr>
                <w:sz w:val="16"/>
                <w:szCs w:val="16"/>
              </w:rPr>
            </w:pPr>
            <w:proofErr w:type="gramStart"/>
            <w:r w:rsidRPr="00C12BA8">
              <w:rPr>
                <w:sz w:val="16"/>
                <w:szCs w:val="16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C12BA8">
              <w:rPr>
                <w:sz w:val="16"/>
                <w:szCs w:val="16"/>
                <w:lang w:val="en-US"/>
              </w:rPr>
              <w:t>II</w:t>
            </w:r>
            <w:r w:rsidRPr="00C12BA8">
              <w:rPr>
                <w:sz w:val="16"/>
                <w:szCs w:val="16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C12BA8">
              <w:rPr>
                <w:sz w:val="16"/>
                <w:szCs w:val="16"/>
              </w:rPr>
              <w:t xml:space="preserve"> страны происхождения товара.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BB6" w:rsidRPr="00C12BA8" w:rsidRDefault="00931BB6" w:rsidP="004479B3">
            <w:pPr>
              <w:jc w:val="center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1</w:t>
            </w:r>
          </w:p>
          <w:p w:rsidR="00931BB6" w:rsidRPr="00C12BA8" w:rsidRDefault="00931BB6" w:rsidP="004479B3">
            <w:pPr>
              <w:jc w:val="center"/>
              <w:rPr>
                <w:sz w:val="16"/>
                <w:szCs w:val="16"/>
              </w:rPr>
            </w:pPr>
          </w:p>
          <w:p w:rsidR="00931BB6" w:rsidRPr="00C12BA8" w:rsidRDefault="00931BB6" w:rsidP="004479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B6" w:rsidRPr="00C12BA8" w:rsidRDefault="00931BB6" w:rsidP="004479B3">
            <w:pPr>
              <w:pStyle w:val="1"/>
              <w:tabs>
                <w:tab w:val="clear" w:pos="0"/>
                <w:tab w:val="left" w:pos="-63"/>
              </w:tabs>
              <w:ind w:right="-11"/>
              <w:jc w:val="both"/>
              <w:rPr>
                <w:b/>
                <w:sz w:val="16"/>
                <w:szCs w:val="16"/>
                <w:lang w:val="ru-RU" w:eastAsia="ru-RU"/>
              </w:rPr>
            </w:pPr>
            <w:proofErr w:type="spellStart"/>
            <w:r w:rsidRPr="00C12BA8">
              <w:rPr>
                <w:b/>
                <w:sz w:val="16"/>
                <w:szCs w:val="16"/>
                <w:lang w:val="ru-RU" w:eastAsia="ru-RU"/>
              </w:rPr>
              <w:t>Металлодетектор</w:t>
            </w:r>
            <w:proofErr w:type="spellEnd"/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C12BA8">
              <w:rPr>
                <w:b/>
                <w:sz w:val="16"/>
                <w:szCs w:val="16"/>
                <w:lang w:val="ru-RU" w:eastAsia="ru-RU"/>
              </w:rPr>
              <w:t>стационарный</w:t>
            </w:r>
            <w:proofErr w:type="gramEnd"/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 арочный общего назначения. Антенны колонного типа, </w:t>
            </w:r>
            <w:r w:rsidRPr="002200F8">
              <w:rPr>
                <w:b/>
                <w:sz w:val="16"/>
                <w:szCs w:val="16"/>
                <w:lang w:val="ru-RU" w:eastAsia="ru-RU"/>
              </w:rPr>
              <w:t>Ширина прохода не менее 720 мм</w:t>
            </w:r>
            <w:r w:rsidRPr="00C12BA8">
              <w:rPr>
                <w:sz w:val="16"/>
                <w:szCs w:val="16"/>
                <w:lang w:val="ru-RU" w:eastAsia="ru-RU"/>
              </w:rPr>
              <w:t xml:space="preserve"> (опция не менее 820 мм),</w:t>
            </w:r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 Наличие встроенного блока управления и индикации во влагозащитном корпусе. Габаритная высота не менее 2000 мм. </w:t>
            </w:r>
            <w:r w:rsidRPr="00C12BA8">
              <w:rPr>
                <w:sz w:val="16"/>
                <w:szCs w:val="16"/>
                <w:lang w:val="ru-RU" w:eastAsia="ru-RU"/>
              </w:rPr>
              <w:t xml:space="preserve">Питание в диапазоне 115-230В, </w:t>
            </w:r>
            <w:r w:rsidRPr="00DF0D4B">
              <w:rPr>
                <w:sz w:val="16"/>
                <w:szCs w:val="16"/>
                <w:lang w:val="ru-RU" w:eastAsia="ru-RU"/>
              </w:rPr>
              <w:t>45-65Гц, вес не более 45 кг.</w:t>
            </w:r>
          </w:p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 xml:space="preserve">В соответствии с ГОСТ </w:t>
            </w:r>
            <w:proofErr w:type="gramStart"/>
            <w:r w:rsidRPr="00C12BA8">
              <w:rPr>
                <w:sz w:val="16"/>
                <w:szCs w:val="16"/>
              </w:rPr>
              <w:t>Р</w:t>
            </w:r>
            <w:proofErr w:type="gramEnd"/>
            <w:r w:rsidRPr="00C12BA8">
              <w:rPr>
                <w:sz w:val="16"/>
                <w:szCs w:val="16"/>
              </w:rPr>
              <w:t xml:space="preserve"> 53705-2009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 w:rsidRPr="00C12BA8"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990" w:type="pct"/>
          </w:tcPr>
          <w:p w:rsidR="00931BB6" w:rsidRPr="00DF0D4B" w:rsidRDefault="00931BB6" w:rsidP="004479B3">
            <w:pPr>
              <w:pStyle w:val="1"/>
              <w:tabs>
                <w:tab w:val="clear" w:pos="0"/>
                <w:tab w:val="left" w:pos="-210"/>
              </w:tabs>
              <w:ind w:left="-29"/>
              <w:jc w:val="both"/>
              <w:rPr>
                <w:sz w:val="16"/>
                <w:szCs w:val="16"/>
                <w:lang w:val="ru-RU" w:eastAsia="ru-RU"/>
              </w:rPr>
            </w:pPr>
            <w:proofErr w:type="spellStart"/>
            <w:r w:rsidRPr="00DF0D4B">
              <w:rPr>
                <w:sz w:val="16"/>
                <w:szCs w:val="16"/>
                <w:lang w:val="ru-RU" w:eastAsia="ru-RU"/>
              </w:rPr>
              <w:t>Металлодетектор</w:t>
            </w:r>
            <w:proofErr w:type="spellEnd"/>
            <w:r w:rsidRPr="00DF0D4B">
              <w:rPr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DF0D4B">
              <w:rPr>
                <w:sz w:val="16"/>
                <w:szCs w:val="16"/>
                <w:lang w:val="ru-RU" w:eastAsia="ru-RU"/>
              </w:rPr>
              <w:t>стационарный</w:t>
            </w:r>
            <w:proofErr w:type="gramEnd"/>
            <w:r w:rsidRPr="00DF0D4B">
              <w:rPr>
                <w:sz w:val="16"/>
                <w:szCs w:val="16"/>
                <w:lang w:val="ru-RU" w:eastAsia="ru-RU"/>
              </w:rPr>
              <w:t xml:space="preserve"> арочный общего назначения. Антенны колонного типа,</w:t>
            </w:r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 w:rsidRPr="002200F8">
              <w:rPr>
                <w:b/>
                <w:sz w:val="16"/>
                <w:szCs w:val="16"/>
                <w:lang w:val="ru-RU" w:eastAsia="ru-RU"/>
              </w:rPr>
              <w:t>Ширина прохода 800 мм,</w:t>
            </w:r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 </w:t>
            </w:r>
            <w:r w:rsidRPr="00DF0D4B">
              <w:rPr>
                <w:sz w:val="16"/>
                <w:szCs w:val="16"/>
                <w:lang w:val="ru-RU" w:eastAsia="ru-RU"/>
              </w:rPr>
              <w:t>в наличии встроенный блок управления и индикации во влагозащитном корпусе IP 55.</w:t>
            </w:r>
          </w:p>
          <w:p w:rsidR="00931BB6" w:rsidRPr="00DF0D4B" w:rsidRDefault="00931BB6" w:rsidP="004479B3">
            <w:pPr>
              <w:pStyle w:val="1"/>
              <w:tabs>
                <w:tab w:val="clear" w:pos="0"/>
                <w:tab w:val="left" w:pos="-210"/>
              </w:tabs>
              <w:ind w:left="-29"/>
              <w:jc w:val="both"/>
              <w:rPr>
                <w:sz w:val="16"/>
                <w:szCs w:val="16"/>
                <w:lang w:val="ru-RU" w:eastAsia="ru-RU"/>
              </w:rPr>
            </w:pPr>
            <w:r w:rsidRPr="00DF0D4B">
              <w:rPr>
                <w:sz w:val="16"/>
                <w:szCs w:val="16"/>
                <w:lang w:val="ru-RU" w:eastAsia="ru-RU"/>
              </w:rPr>
              <w:t>Габаритная высота 2220 мм.</w:t>
            </w:r>
          </w:p>
          <w:p w:rsidR="00931BB6" w:rsidRPr="00DF0D4B" w:rsidRDefault="00931BB6" w:rsidP="004479B3">
            <w:pPr>
              <w:pStyle w:val="1"/>
              <w:tabs>
                <w:tab w:val="clear" w:pos="0"/>
                <w:tab w:val="left" w:pos="-210"/>
              </w:tabs>
              <w:ind w:left="-29"/>
              <w:jc w:val="both"/>
              <w:rPr>
                <w:sz w:val="16"/>
                <w:szCs w:val="16"/>
                <w:lang w:val="ru-RU" w:eastAsia="ru-RU"/>
              </w:rPr>
            </w:pPr>
            <w:r w:rsidRPr="00DF0D4B">
              <w:rPr>
                <w:b/>
                <w:sz w:val="16"/>
                <w:szCs w:val="16"/>
                <w:lang w:val="ru-RU" w:eastAsia="ru-RU"/>
              </w:rPr>
              <w:t>Питание 230</w:t>
            </w:r>
            <w:proofErr w:type="gramStart"/>
            <w:r w:rsidRPr="00DF0D4B">
              <w:rPr>
                <w:b/>
                <w:sz w:val="16"/>
                <w:szCs w:val="16"/>
                <w:lang w:val="ru-RU" w:eastAsia="ru-RU"/>
              </w:rPr>
              <w:t xml:space="preserve"> В</w:t>
            </w:r>
            <w:proofErr w:type="gramEnd"/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, </w:t>
            </w:r>
            <w:r w:rsidRPr="00DF0D4B">
              <w:rPr>
                <w:sz w:val="16"/>
                <w:szCs w:val="16"/>
                <w:lang w:val="ru-RU" w:eastAsia="ru-RU"/>
              </w:rPr>
              <w:t>50-60 Гц</w:t>
            </w:r>
            <w:r w:rsidRPr="00C12BA8">
              <w:rPr>
                <w:b/>
                <w:sz w:val="16"/>
                <w:szCs w:val="16"/>
                <w:lang w:val="ru-RU" w:eastAsia="ru-RU"/>
              </w:rPr>
              <w:t xml:space="preserve">, </w:t>
            </w:r>
            <w:r w:rsidRPr="00DF0D4B">
              <w:rPr>
                <w:sz w:val="16"/>
                <w:szCs w:val="16"/>
                <w:lang w:val="ru-RU" w:eastAsia="ru-RU"/>
              </w:rPr>
              <w:t>вес 45 кг.</w:t>
            </w:r>
          </w:p>
          <w:p w:rsidR="00931BB6" w:rsidRPr="00C12BA8" w:rsidRDefault="00931BB6" w:rsidP="004479B3">
            <w:pPr>
              <w:tabs>
                <w:tab w:val="left" w:pos="-210"/>
              </w:tabs>
              <w:suppressAutoHyphens w:val="0"/>
              <w:ind w:left="-29"/>
              <w:jc w:val="both"/>
              <w:rPr>
                <w:bCs/>
                <w:sz w:val="16"/>
                <w:szCs w:val="16"/>
                <w:lang w:eastAsia="ru-RU"/>
              </w:rPr>
            </w:pPr>
            <w:r w:rsidRPr="00C12BA8">
              <w:rPr>
                <w:bCs/>
                <w:sz w:val="16"/>
                <w:szCs w:val="16"/>
                <w:lang w:eastAsia="ru-RU"/>
              </w:rPr>
              <w:t xml:space="preserve">В соответствии с ГОСТ </w:t>
            </w:r>
            <w:proofErr w:type="gramStart"/>
            <w:r w:rsidRPr="00C12BA8">
              <w:rPr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C12BA8">
              <w:rPr>
                <w:bCs/>
                <w:sz w:val="16"/>
                <w:szCs w:val="16"/>
                <w:lang w:eastAsia="ru-RU"/>
              </w:rPr>
              <w:t xml:space="preserve"> 53705-2009</w:t>
            </w:r>
          </w:p>
        </w:tc>
        <w:tc>
          <w:tcPr>
            <w:tcW w:w="792" w:type="pct"/>
            <w:vAlign w:val="center"/>
          </w:tcPr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931BB6" w:rsidRPr="00C12BA8" w:rsidTr="008341B8">
        <w:trPr>
          <w:trHeight w:val="707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BB6" w:rsidRPr="00C12BA8" w:rsidRDefault="00931BB6" w:rsidP="004479B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BB6" w:rsidRPr="00C12BA8" w:rsidRDefault="00931BB6" w:rsidP="004479B3">
            <w:pPr>
              <w:jc w:val="center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proofErr w:type="spellStart"/>
            <w:r w:rsidRPr="00C12BA8">
              <w:rPr>
                <w:sz w:val="16"/>
                <w:szCs w:val="16"/>
              </w:rPr>
              <w:t>Металлодетектор</w:t>
            </w:r>
            <w:proofErr w:type="spellEnd"/>
            <w:r w:rsidRPr="00C12BA8">
              <w:rPr>
                <w:sz w:val="16"/>
                <w:szCs w:val="16"/>
              </w:rPr>
              <w:t xml:space="preserve"> </w:t>
            </w:r>
            <w:proofErr w:type="gramStart"/>
            <w:r w:rsidRPr="00C12BA8">
              <w:rPr>
                <w:sz w:val="16"/>
                <w:szCs w:val="16"/>
              </w:rPr>
              <w:t>ручной</w:t>
            </w:r>
            <w:proofErr w:type="gramEnd"/>
            <w:r w:rsidRPr="00C12BA8">
              <w:rPr>
                <w:sz w:val="16"/>
                <w:szCs w:val="16"/>
              </w:rPr>
              <w:t xml:space="preserve"> предназначен для поиска металлических предметов. Габаритные размеры: не менее 415х85х35 мм. </w:t>
            </w:r>
          </w:p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 xml:space="preserve">Масса прибора:  не более 410 г. </w:t>
            </w:r>
          </w:p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Питание не менее 9</w:t>
            </w:r>
            <w:proofErr w:type="gramStart"/>
            <w:r w:rsidRPr="00C12BA8">
              <w:rPr>
                <w:sz w:val="16"/>
                <w:szCs w:val="16"/>
              </w:rPr>
              <w:t xml:space="preserve"> В</w:t>
            </w:r>
            <w:proofErr w:type="gramEnd"/>
            <w:r w:rsidRPr="00C12BA8">
              <w:rPr>
                <w:sz w:val="16"/>
                <w:szCs w:val="16"/>
              </w:rPr>
              <w:t xml:space="preserve"> на батарее. </w:t>
            </w:r>
          </w:p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>Наработка прибора от одной батареи:  не менее 400 ч.</w:t>
            </w:r>
          </w:p>
          <w:p w:rsidR="00931BB6" w:rsidRPr="00C12BA8" w:rsidRDefault="00931BB6" w:rsidP="004479B3">
            <w:pPr>
              <w:tabs>
                <w:tab w:val="left" w:pos="-63"/>
              </w:tabs>
              <w:ind w:right="-11"/>
              <w:jc w:val="both"/>
              <w:rPr>
                <w:sz w:val="16"/>
                <w:szCs w:val="16"/>
              </w:rPr>
            </w:pPr>
            <w:r w:rsidRPr="00C12BA8">
              <w:rPr>
                <w:sz w:val="16"/>
                <w:szCs w:val="16"/>
              </w:rPr>
              <w:t xml:space="preserve">В соответствии с ГОСТ </w:t>
            </w:r>
            <w:proofErr w:type="gramStart"/>
            <w:r w:rsidRPr="00C12BA8">
              <w:rPr>
                <w:sz w:val="16"/>
                <w:szCs w:val="16"/>
              </w:rPr>
              <w:t>Р</w:t>
            </w:r>
            <w:proofErr w:type="gramEnd"/>
            <w:r w:rsidRPr="00C12BA8">
              <w:rPr>
                <w:sz w:val="16"/>
                <w:szCs w:val="16"/>
              </w:rPr>
              <w:t xml:space="preserve"> 53705-2009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31BB6" w:rsidRPr="00C12BA8" w:rsidRDefault="00931BB6" w:rsidP="004479B3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12BA8"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990" w:type="pct"/>
            <w:vAlign w:val="center"/>
          </w:tcPr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</w:p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</w:p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rFonts w:eastAsia="Calibri"/>
                <w:sz w:val="16"/>
                <w:szCs w:val="16"/>
              </w:rPr>
              <w:t>соответствует</w:t>
            </w:r>
          </w:p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</w:p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2" w:type="pct"/>
            <w:vAlign w:val="center"/>
          </w:tcPr>
          <w:p w:rsidR="00931BB6" w:rsidRPr="00C12BA8" w:rsidRDefault="00931BB6" w:rsidP="004479B3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6"/>
              </w:rPr>
            </w:pPr>
            <w:r w:rsidRPr="00C12BA8"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</w:tbl>
    <w:p w:rsidR="00545140" w:rsidRDefault="00EE5AC5" w:rsidP="00DF0D4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545140" w:rsidSect="00FA6B4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1426"/>
        </w:tabs>
        <w:ind w:left="1426" w:hanging="576"/>
      </w:p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cs="Times New Roman"/>
        <w:b/>
        <w:bCs/>
        <w:i/>
        <w:iCs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79"/>
    <w:rsid w:val="0000635A"/>
    <w:rsid w:val="00127930"/>
    <w:rsid w:val="00241C8F"/>
    <w:rsid w:val="002C1FF3"/>
    <w:rsid w:val="00374E9F"/>
    <w:rsid w:val="00545140"/>
    <w:rsid w:val="00582C4D"/>
    <w:rsid w:val="00607B94"/>
    <w:rsid w:val="006A590D"/>
    <w:rsid w:val="006D4699"/>
    <w:rsid w:val="007449EC"/>
    <w:rsid w:val="00793D2E"/>
    <w:rsid w:val="00823F29"/>
    <w:rsid w:val="008341B8"/>
    <w:rsid w:val="00911879"/>
    <w:rsid w:val="00931BB6"/>
    <w:rsid w:val="00932C5A"/>
    <w:rsid w:val="00B43CD3"/>
    <w:rsid w:val="00BB75D2"/>
    <w:rsid w:val="00CD785E"/>
    <w:rsid w:val="00DF0D4B"/>
    <w:rsid w:val="00E0098D"/>
    <w:rsid w:val="00E12763"/>
    <w:rsid w:val="00EE5AC5"/>
    <w:rsid w:val="00F01658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EE5AC5"/>
    <w:pPr>
      <w:keepNext/>
      <w:numPr>
        <w:numId w:val="2"/>
      </w:numPr>
      <w:tabs>
        <w:tab w:val="left" w:pos="0"/>
      </w:tabs>
      <w:jc w:val="center"/>
      <w:outlineLvl w:val="0"/>
    </w:pPr>
    <w:rPr>
      <w:sz w:val="2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EE5AC5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E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7449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49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49EC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EE5AC5"/>
    <w:rPr>
      <w:rFonts w:ascii="Times New Roman" w:eastAsia="Times New Roman" w:hAnsi="Times New Roman" w:cs="Times New Roman"/>
      <w:kern w:val="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EE5AC5"/>
    <w:rPr>
      <w:rFonts w:ascii="Times New Roman" w:eastAsia="Arial Unicode MS" w:hAnsi="Times New Roman" w:cs="Times New Roman"/>
      <w:b/>
      <w:bCs/>
      <w:kern w:val="2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E5AC5"/>
    <w:rPr>
      <w:rFonts w:ascii="Arial" w:eastAsia="Times New Roman" w:hAnsi="Arial" w:cs="Arial"/>
      <w:b/>
      <w:bCs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EE5AC5"/>
    <w:pPr>
      <w:keepNext/>
      <w:numPr>
        <w:numId w:val="2"/>
      </w:numPr>
      <w:tabs>
        <w:tab w:val="left" w:pos="0"/>
      </w:tabs>
      <w:jc w:val="center"/>
      <w:outlineLvl w:val="0"/>
    </w:pPr>
    <w:rPr>
      <w:sz w:val="2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EE5AC5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E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7449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49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49EC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EE5AC5"/>
    <w:rPr>
      <w:rFonts w:ascii="Times New Roman" w:eastAsia="Times New Roman" w:hAnsi="Times New Roman" w:cs="Times New Roman"/>
      <w:kern w:val="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EE5AC5"/>
    <w:rPr>
      <w:rFonts w:ascii="Times New Roman" w:eastAsia="Arial Unicode MS" w:hAnsi="Times New Roman" w:cs="Times New Roman"/>
      <w:b/>
      <w:bCs/>
      <w:kern w:val="2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E5AC5"/>
    <w:rPr>
      <w:rFonts w:ascii="Arial" w:eastAsia="Times New Roman" w:hAnsi="Arial" w:cs="Arial"/>
      <w:b/>
      <w:bCs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2017-10-02T09:37:00Z</cp:lastPrinted>
  <dcterms:created xsi:type="dcterms:W3CDTF">2017-06-16T05:10:00Z</dcterms:created>
  <dcterms:modified xsi:type="dcterms:W3CDTF">2017-10-03T10:41:00Z</dcterms:modified>
</cp:coreProperties>
</file>