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43A5998D" w:rsidR="00EF1D23" w:rsidRPr="000F4306" w:rsidRDefault="00787A9C" w:rsidP="00EF1D23">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430093CF" wp14:editId="08334106">
                  <wp:extent cx="3131820" cy="11912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19126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08E8593B" w14:textId="09B7CDED" w:rsidR="00113F5D" w:rsidRPr="00113F5D" w:rsidRDefault="00FF5263" w:rsidP="009F4D0C">
      <w:pPr>
        <w:spacing w:before="0" w:beforeAutospacing="0" w:after="0" w:afterAutospacing="0"/>
        <w:jc w:val="center"/>
        <w:rPr>
          <w:rFonts w:ascii="PT Astra Serif" w:hAnsi="PT Astra Serif"/>
          <w:b/>
          <w:bCs/>
          <w:sz w:val="24"/>
          <w:u w:val="single"/>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на </w:t>
      </w:r>
      <w:r w:rsidR="009F4D0C" w:rsidRPr="000F4306">
        <w:rPr>
          <w:rFonts w:ascii="PT Astra Serif" w:hAnsi="PT Astra Serif"/>
          <w:b/>
          <w:bCs/>
          <w:color w:val="000000"/>
          <w:sz w:val="24"/>
          <w:szCs w:val="24"/>
          <w:lang w:val="ru-RU"/>
        </w:rPr>
        <w:br/>
      </w:r>
      <w:r w:rsidR="00113F5D" w:rsidRPr="00113F5D">
        <w:rPr>
          <w:rFonts w:ascii="PT Astra Serif" w:hAnsi="PT Astra Serif"/>
          <w:b/>
          <w:bCs/>
          <w:sz w:val="24"/>
          <w:u w:val="single"/>
          <w:lang w:val="ru-RU"/>
        </w:rPr>
        <w:t xml:space="preserve">оказание услуг по передаче неисключительных прав </w:t>
      </w:r>
    </w:p>
    <w:p w14:paraId="36F5282B" w14:textId="58E4FAFA" w:rsidR="009F4D0C" w:rsidRDefault="00113F5D" w:rsidP="009F4D0C">
      <w:pPr>
        <w:spacing w:before="0" w:beforeAutospacing="0" w:after="0" w:afterAutospacing="0"/>
        <w:jc w:val="center"/>
        <w:rPr>
          <w:rFonts w:ascii="PT Astra Serif" w:hAnsi="PT Astra Serif"/>
          <w:b/>
          <w:bCs/>
          <w:vertAlign w:val="superscript"/>
          <w:lang w:val="ru-RU"/>
        </w:rPr>
      </w:pPr>
      <w:r w:rsidRPr="00113F5D">
        <w:rPr>
          <w:rFonts w:ascii="PT Astra Serif" w:hAnsi="PT Astra Serif"/>
          <w:b/>
          <w:bCs/>
          <w:sz w:val="24"/>
          <w:u w:val="single"/>
          <w:lang w:val="ru-RU"/>
        </w:rPr>
        <w:t>на использование программного обеспечения</w:t>
      </w:r>
      <w:r w:rsidR="009F4D0C" w:rsidRPr="00113F5D">
        <w:rPr>
          <w:rFonts w:ascii="PT Astra Serif" w:hAnsi="PT Astra Serif"/>
          <w:b/>
          <w:bCs/>
          <w:sz w:val="24"/>
          <w:lang w:val="ru-RU"/>
        </w:rPr>
        <w:t xml:space="preserve"> </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4F5AA0"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4F5AA0"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7CFE34EF" w:rsidR="00291651" w:rsidRPr="00A123AB" w:rsidRDefault="001B62DC" w:rsidP="00113F5D">
            <w:pPr>
              <w:rPr>
                <w:rFonts w:ascii="PT Astra Serif" w:hAnsi="PT Astra Serif"/>
                <w:color w:val="000099"/>
                <w:sz w:val="24"/>
                <w:szCs w:val="24"/>
                <w:lang w:val="ru-RU"/>
              </w:rPr>
            </w:pPr>
            <w:r w:rsidRPr="001B62DC">
              <w:rPr>
                <w:rFonts w:ascii="PT Astra Serif" w:hAnsi="PT Astra Serif"/>
                <w:color w:val="000099"/>
                <w:sz w:val="24"/>
                <w:szCs w:val="24"/>
                <w:lang w:val="ru-RU"/>
              </w:rPr>
              <w:t>223862200236886220100101760016311244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4F5AA0"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4F5AA0"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color w:val="000000"/>
                <w:sz w:val="24"/>
                <w:szCs w:val="24"/>
              </w:rPr>
              <w:t>Наименование</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объекта</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192D5EFA" w:rsidR="00291651" w:rsidRPr="000F4306" w:rsidRDefault="00291651" w:rsidP="00E66EB5">
            <w:pPr>
              <w:spacing w:before="0" w:beforeAutospacing="0" w:after="0" w:afterAutospacing="0"/>
              <w:jc w:val="both"/>
              <w:rPr>
                <w:rFonts w:ascii="PT Astra Serif" w:hAnsi="PT Astra Serif"/>
                <w:sz w:val="24"/>
                <w:szCs w:val="24"/>
                <w:highlight w:val="yellow"/>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w:t>
            </w:r>
            <w:r w:rsidR="00E66EB5">
              <w:rPr>
                <w:rFonts w:ascii="PT Astra Serif" w:hAnsi="PT Astra Serif"/>
                <w:bCs/>
                <w:color w:val="000000"/>
                <w:sz w:val="24"/>
                <w:szCs w:val="24"/>
                <w:lang w:val="ru-RU"/>
              </w:rPr>
              <w:t>ование программного обеспечения</w:t>
            </w:r>
          </w:p>
        </w:tc>
      </w:tr>
      <w:tr w:rsidR="00291651" w:rsidRPr="004F5AA0"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61234C28" w:rsidR="00291651" w:rsidRPr="000F4306" w:rsidRDefault="001B62DC" w:rsidP="00113F5D">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задание)»</w:t>
            </w:r>
          </w:p>
        </w:tc>
      </w:tr>
      <w:tr w:rsidR="001B62DC" w:rsidRPr="004F5AA0"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Срок исполнения контракта (отдельных этапов исполнения контракта, если проектом контракта </w:t>
            </w:r>
            <w:r w:rsidRPr="000F4306">
              <w:rPr>
                <w:rFonts w:ascii="PT Astra Serif" w:hAnsi="PT Astra Serif"/>
                <w:color w:val="000000"/>
                <w:sz w:val="24"/>
                <w:szCs w:val="24"/>
                <w:lang w:val="ru-RU"/>
              </w:rPr>
              <w:lastRenderedPageBreak/>
              <w:t>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3D8699A2" w:rsidR="001B62DC" w:rsidRPr="000F4306" w:rsidRDefault="001B62DC" w:rsidP="00010ABC">
            <w:pPr>
              <w:rPr>
                <w:rFonts w:ascii="PT Astra Serif" w:hAnsi="PT Astra Serif"/>
                <w:sz w:val="24"/>
                <w:szCs w:val="24"/>
                <w:lang w:val="ru-RU"/>
              </w:rPr>
            </w:pPr>
            <w:r>
              <w:rPr>
                <w:rFonts w:ascii="PT Astra Serif" w:hAnsi="PT Astra Serif"/>
                <w:color w:val="000099"/>
                <w:sz w:val="24"/>
                <w:szCs w:val="24"/>
                <w:lang w:val="ru-RU"/>
              </w:rPr>
              <w:lastRenderedPageBreak/>
              <w:t>С</w:t>
            </w:r>
            <w:r w:rsidRPr="00044E24">
              <w:rPr>
                <w:rFonts w:ascii="PT Astra Serif" w:hAnsi="PT Astra Serif"/>
                <w:color w:val="000099"/>
                <w:sz w:val="24"/>
                <w:szCs w:val="24"/>
                <w:lang w:val="ru-RU"/>
              </w:rPr>
              <w:t xml:space="preserve"> момента заключения муниципального контракта по 01.0</w:t>
            </w:r>
            <w:r w:rsidR="00010ABC">
              <w:rPr>
                <w:rFonts w:ascii="PT Astra Serif" w:hAnsi="PT Astra Serif"/>
                <w:color w:val="000099"/>
                <w:sz w:val="24"/>
                <w:szCs w:val="24"/>
                <w:lang w:val="ru-RU"/>
              </w:rPr>
              <w:t>7</w:t>
            </w:r>
            <w:bookmarkStart w:id="0" w:name="_GoBack"/>
            <w:bookmarkEnd w:id="0"/>
            <w:r w:rsidRPr="00044E24">
              <w:rPr>
                <w:rFonts w:ascii="PT Astra Serif" w:hAnsi="PT Astra Serif"/>
                <w:color w:val="000099"/>
                <w:sz w:val="24"/>
                <w:szCs w:val="24"/>
                <w:lang w:val="ru-RU"/>
              </w:rPr>
              <w:t>.2022</w:t>
            </w:r>
          </w:p>
        </w:tc>
      </w:tr>
      <w:tr w:rsidR="001B62DC" w:rsidRPr="004F5AA0"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4878D563" w:rsidR="001B62DC" w:rsidRPr="000F4306" w:rsidRDefault="001B62DC" w:rsidP="001B62DC">
            <w:pPr>
              <w:rPr>
                <w:rFonts w:ascii="PT Astra Serif" w:hAnsi="PT Astra Serif"/>
                <w:sz w:val="24"/>
                <w:szCs w:val="24"/>
                <w:lang w:val="ru-RU"/>
              </w:rPr>
            </w:pPr>
            <w:r w:rsidRPr="00E66EB5">
              <w:rPr>
                <w:rFonts w:ascii="PT Astra Serif" w:hAnsi="PT Astra Serif"/>
                <w:snapToGrid w:val="0"/>
                <w:color w:val="000099"/>
                <w:sz w:val="24"/>
                <w:lang w:val="ru-RU"/>
              </w:rPr>
              <w:t>85</w:t>
            </w:r>
            <w:r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000</w:t>
            </w:r>
            <w:r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восемьдесят пять</w:t>
            </w:r>
            <w:r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 рублей 00 коп</w:t>
            </w:r>
          </w:p>
        </w:tc>
      </w:tr>
      <w:tr w:rsidR="001B62DC" w:rsidRPr="004F5AA0"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sz w:val="26"/>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4F5AA0"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9DBEE1A"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пунктом 1 части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w:t>
            </w:r>
            <w:r w:rsidRPr="000F4306">
              <w:rPr>
                <w:rFonts w:ascii="PT Astra Serif" w:hAnsi="PT Astra Serif"/>
                <w:color w:val="000000"/>
                <w:sz w:val="24"/>
                <w:szCs w:val="24"/>
                <w:lang w:val="ru-RU"/>
              </w:rPr>
              <w:lastRenderedPageBreak/>
              <w:t>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w:t>
            </w:r>
            <w:r w:rsidRPr="000F4306">
              <w:rPr>
                <w:rFonts w:ascii="PT Astra Serif" w:hAnsi="PT Astra Serif"/>
                <w:color w:val="000000"/>
                <w:sz w:val="24"/>
                <w:szCs w:val="24"/>
                <w:lang w:val="ru-RU"/>
              </w:rPr>
              <w:lastRenderedPageBreak/>
              <w:t xml:space="preserve">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1B62DC" w:rsidRPr="00DE2695" w:rsidRDefault="001B62DC" w:rsidP="001B62DC">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1B62DC" w:rsidRPr="000F4306" w:rsidRDefault="001B62DC" w:rsidP="001B62DC">
            <w:pPr>
              <w:rPr>
                <w:rFonts w:ascii="PT Astra Serif" w:hAnsi="PT Astra Serif"/>
                <w:i/>
                <w:sz w:val="24"/>
                <w:szCs w:val="24"/>
                <w:lang w:val="ru-RU"/>
              </w:rPr>
            </w:pPr>
          </w:p>
        </w:tc>
      </w:tr>
      <w:tr w:rsidR="001B62DC" w:rsidRPr="004F5AA0"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4F5AA0"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1B62DC" w:rsidRPr="004F5AA0"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4F5AA0"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1B62DC" w:rsidRPr="00DE2695" w:rsidRDefault="001B62DC" w:rsidP="001B62DC">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r w:rsidRPr="00DE2695">
              <w:rPr>
                <w:rFonts w:ascii="PT Astra Serif" w:hAnsi="PT Astra Serif"/>
                <w:color w:val="000000"/>
                <w:sz w:val="24"/>
                <w:szCs w:val="24"/>
              </w:rPr>
              <w:t>становлено</w:t>
            </w:r>
          </w:p>
        </w:tc>
      </w:tr>
      <w:tr w:rsidR="001B62DC" w:rsidRPr="004F5AA0"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5E72A22A" w:rsidR="001B62DC" w:rsidRPr="00362C24" w:rsidRDefault="001B62DC" w:rsidP="001B62DC">
            <w:pPr>
              <w:spacing w:before="0" w:beforeAutospacing="0" w:after="0" w:afterAutospacing="0"/>
              <w:jc w:val="both"/>
              <w:rPr>
                <w:rFonts w:ascii="PT Astra Serif" w:hAnsi="PT Astra Serif"/>
                <w:sz w:val="24"/>
                <w:szCs w:val="24"/>
                <w:lang w:val="ru-RU"/>
              </w:rPr>
            </w:pPr>
            <w:r w:rsidRPr="00362C24">
              <w:rPr>
                <w:rFonts w:ascii="PT Astra Serif" w:hAnsi="PT Astra Serif"/>
                <w:sz w:val="24"/>
                <w:szCs w:val="24"/>
                <w:lang w:val="ru-RU"/>
              </w:rPr>
              <w:t>Постановление Правительства РФ от 16</w:t>
            </w:r>
            <w:r>
              <w:rPr>
                <w:rFonts w:ascii="PT Astra Serif" w:hAnsi="PT Astra Serif"/>
                <w:sz w:val="24"/>
                <w:szCs w:val="24"/>
                <w:lang w:val="ru-RU"/>
              </w:rPr>
              <w:t>.11.</w:t>
            </w:r>
            <w:r w:rsidRPr="00362C24">
              <w:rPr>
                <w:rFonts w:ascii="PT Astra Serif" w:hAnsi="PT Astra Serif"/>
                <w:sz w:val="24"/>
                <w:szCs w:val="24"/>
                <w:lang w:val="ru-RU"/>
              </w:rPr>
              <w:t xml:space="preserve">2015 № 1236 </w:t>
            </w:r>
            <w:r>
              <w:rPr>
                <w:rFonts w:ascii="PT Astra Serif" w:hAnsi="PT Astra Serif"/>
                <w:sz w:val="24"/>
                <w:szCs w:val="24"/>
                <w:lang w:val="ru-RU"/>
              </w:rPr>
              <w:t>«</w:t>
            </w:r>
            <w:r w:rsidRPr="00362C24">
              <w:rPr>
                <w:rFonts w:ascii="PT Astra Serif" w:hAnsi="PT Astra Serif"/>
                <w:sz w:val="24"/>
                <w:szCs w:val="24"/>
                <w:lang w:val="ru-RU"/>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Pr>
                <w:rFonts w:ascii="PT Astra Serif" w:hAnsi="PT Astra Serif"/>
                <w:sz w:val="24"/>
                <w:szCs w:val="24"/>
                <w:lang w:val="ru-RU"/>
              </w:rPr>
              <w:t>.</w:t>
            </w:r>
          </w:p>
        </w:tc>
      </w:tr>
      <w:tr w:rsidR="001B62DC" w:rsidRPr="004F5AA0"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55EFAEA1"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Pr>
                <w:rFonts w:ascii="PT Astra Serif" w:hAnsi="PT Astra Serif"/>
                <w:color w:val="000099"/>
                <w:sz w:val="24"/>
                <w:szCs w:val="24"/>
                <w:lang w:val="ru-RU"/>
              </w:rPr>
              <w:t>8</w:t>
            </w:r>
            <w:r w:rsidRPr="00E95031">
              <w:rPr>
                <w:rFonts w:ascii="PT Astra Serif" w:hAnsi="PT Astra Serif"/>
                <w:color w:val="000099"/>
                <w:sz w:val="24"/>
                <w:szCs w:val="24"/>
                <w:lang w:val="ru-RU"/>
              </w:rPr>
              <w:t>50 (</w:t>
            </w:r>
            <w:r>
              <w:rPr>
                <w:rFonts w:ascii="PT Astra Serif" w:hAnsi="PT Astra Serif"/>
                <w:color w:val="000099"/>
                <w:sz w:val="24"/>
                <w:szCs w:val="24"/>
                <w:lang w:val="ru-RU"/>
              </w:rPr>
              <w:t xml:space="preserve">восемьсот </w:t>
            </w:r>
            <w:r w:rsidRPr="00E95031">
              <w:rPr>
                <w:rFonts w:ascii="PT Astra Serif" w:hAnsi="PT Astra Serif"/>
                <w:color w:val="000099"/>
                <w:sz w:val="24"/>
                <w:szCs w:val="24"/>
                <w:lang w:val="ru-RU"/>
              </w:rPr>
              <w:t>пять</w:t>
            </w:r>
            <w:r>
              <w:rPr>
                <w:rFonts w:ascii="PT Astra Serif" w:hAnsi="PT Astra Serif"/>
                <w:color w:val="000099"/>
                <w:sz w:val="24"/>
                <w:szCs w:val="24"/>
                <w:lang w:val="ru-RU"/>
              </w:rPr>
              <w:t>десят</w:t>
            </w:r>
            <w:r w:rsidRPr="00E95031">
              <w:rPr>
                <w:rFonts w:ascii="PT Astra Serif" w:hAnsi="PT Astra Serif"/>
                <w:color w:val="000099"/>
                <w:sz w:val="24"/>
                <w:szCs w:val="24"/>
                <w:lang w:val="ru-RU"/>
              </w:rPr>
              <w:t>) рублей 00 копеек.</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4F5AA0"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lastRenderedPageBreak/>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4F5AA0"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1B62DC" w:rsidRPr="00264A30" w:rsidRDefault="001B62DC" w:rsidP="001B62DC">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4F5AA0"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w:t>
            </w:r>
            <w:r w:rsidRPr="000F4306">
              <w:rPr>
                <w:rFonts w:ascii="PT Astra Serif" w:hAnsi="PT Astra Serif"/>
                <w:color w:val="000000"/>
                <w:sz w:val="24"/>
                <w:szCs w:val="24"/>
                <w:lang w:val="ru-RU"/>
              </w:rPr>
              <w:lastRenderedPageBreak/>
              <w:t>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2B132C59"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на оказание услуг по передаче неисключительных прав на использование программного обеспечения».</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w:t>
            </w:r>
            <w:r w:rsidRPr="002D11F8">
              <w:rPr>
                <w:rFonts w:ascii="PT Astra Serif" w:hAnsi="PT Astra Serif"/>
                <w:color w:val="000000"/>
                <w:sz w:val="24"/>
                <w:szCs w:val="24"/>
                <w:lang w:val="ru-RU"/>
              </w:rPr>
              <w:lastRenderedPageBreak/>
              <w:t>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74D6274"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4F5AA0"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4F5AA0"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5B12A73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4F5AA0">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E8569F">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63DA0C8"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F5AA0">
              <w:rPr>
                <w:rFonts w:ascii="PT Astra Serif" w:hAnsi="PT Astra Serif"/>
                <w:color w:val="000000"/>
                <w:sz w:val="24"/>
                <w:szCs w:val="24"/>
                <w:lang w:val="ru-RU"/>
              </w:rPr>
              <w:t>15</w:t>
            </w:r>
            <w:r w:rsidRPr="000F4306">
              <w:rPr>
                <w:rFonts w:ascii="PT Astra Serif" w:hAnsi="PT Astra Serif"/>
                <w:color w:val="000000"/>
                <w:sz w:val="24"/>
                <w:szCs w:val="24"/>
                <w:lang w:val="ru-RU"/>
              </w:rPr>
              <w:t>»</w:t>
            </w:r>
            <w:r w:rsidR="00E8569F">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ECF10AC" w:rsidR="001B62DC" w:rsidRPr="000F4306" w:rsidRDefault="001B62DC" w:rsidP="004F5AA0">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4F5AA0">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E8569F">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lastRenderedPageBreak/>
        <w:t>Приложения:</w:t>
      </w:r>
    </w:p>
    <w:p w14:paraId="36747B9F" w14:textId="1D89B969"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 (</w:t>
      </w:r>
      <w:r w:rsidR="00A01BD5" w:rsidRPr="000F4306">
        <w:rPr>
          <w:rFonts w:ascii="PT Astra Serif" w:hAnsi="PT Astra Serif"/>
          <w:bCs/>
          <w:color w:val="000000"/>
          <w:sz w:val="24"/>
          <w:szCs w:val="24"/>
          <w:lang w:val="ru-RU"/>
        </w:rPr>
        <w:t>Техническое задание</w:t>
      </w:r>
      <w:r w:rsidR="001B62DC">
        <w:rPr>
          <w:rFonts w:ascii="PT Astra Serif" w:hAnsi="PT Astra Serif"/>
          <w:bCs/>
          <w:color w:val="000000"/>
          <w:sz w:val="24"/>
          <w:szCs w:val="24"/>
          <w:lang w:val="ru-RU"/>
        </w:rPr>
        <w:t>)</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D7590" w14:textId="77777777" w:rsidR="009E3D80" w:rsidRDefault="009E3D80" w:rsidP="003D7935">
      <w:pPr>
        <w:spacing w:before="0" w:after="0"/>
      </w:pPr>
      <w:r>
        <w:separator/>
      </w:r>
    </w:p>
  </w:endnote>
  <w:endnote w:type="continuationSeparator" w:id="0">
    <w:p w14:paraId="58378203" w14:textId="77777777" w:rsidR="009E3D80" w:rsidRDefault="009E3D80"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29B100D8" w:rsidR="003D7935" w:rsidRDefault="003D7935">
        <w:pPr>
          <w:pStyle w:val="ad"/>
          <w:jc w:val="center"/>
        </w:pPr>
        <w:r>
          <w:fldChar w:fldCharType="begin"/>
        </w:r>
        <w:r>
          <w:instrText>PAGE   \* MERGEFORMAT</w:instrText>
        </w:r>
        <w:r>
          <w:fldChar w:fldCharType="separate"/>
        </w:r>
        <w:r w:rsidR="00010ABC" w:rsidRPr="00010ABC">
          <w:rPr>
            <w:noProof/>
            <w:lang w:val="ru-RU"/>
          </w:rPr>
          <w:t>3</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CCDCC" w14:textId="77777777" w:rsidR="009E3D80" w:rsidRDefault="009E3D80" w:rsidP="003D7935">
      <w:pPr>
        <w:spacing w:before="0" w:after="0"/>
      </w:pPr>
      <w:r>
        <w:separator/>
      </w:r>
    </w:p>
  </w:footnote>
  <w:footnote w:type="continuationSeparator" w:id="0">
    <w:p w14:paraId="49D0C74D" w14:textId="77777777" w:rsidR="009E3D80" w:rsidRDefault="009E3D80"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0ABC"/>
    <w:rsid w:val="00044E24"/>
    <w:rsid w:val="00057CD3"/>
    <w:rsid w:val="00060202"/>
    <w:rsid w:val="000F3492"/>
    <w:rsid w:val="000F4306"/>
    <w:rsid w:val="0010032D"/>
    <w:rsid w:val="00113F5D"/>
    <w:rsid w:val="001763F1"/>
    <w:rsid w:val="001B62DC"/>
    <w:rsid w:val="00207500"/>
    <w:rsid w:val="00264A30"/>
    <w:rsid w:val="00291651"/>
    <w:rsid w:val="002922D0"/>
    <w:rsid w:val="00362C24"/>
    <w:rsid w:val="003B1362"/>
    <w:rsid w:val="003D7935"/>
    <w:rsid w:val="00453EE6"/>
    <w:rsid w:val="004C7D6F"/>
    <w:rsid w:val="004D3B17"/>
    <w:rsid w:val="004F5AA0"/>
    <w:rsid w:val="00542843"/>
    <w:rsid w:val="00546F17"/>
    <w:rsid w:val="00666973"/>
    <w:rsid w:val="007032EB"/>
    <w:rsid w:val="00713B32"/>
    <w:rsid w:val="007376A5"/>
    <w:rsid w:val="00787A9C"/>
    <w:rsid w:val="007C70E3"/>
    <w:rsid w:val="00817C20"/>
    <w:rsid w:val="00835BB0"/>
    <w:rsid w:val="00854351"/>
    <w:rsid w:val="008617FE"/>
    <w:rsid w:val="008768A8"/>
    <w:rsid w:val="009E3D80"/>
    <w:rsid w:val="009F4D0C"/>
    <w:rsid w:val="00A01BD5"/>
    <w:rsid w:val="00A04484"/>
    <w:rsid w:val="00A123AB"/>
    <w:rsid w:val="00A9683A"/>
    <w:rsid w:val="00AF53BC"/>
    <w:rsid w:val="00B57ADA"/>
    <w:rsid w:val="00B6291C"/>
    <w:rsid w:val="00B629FF"/>
    <w:rsid w:val="00B71E47"/>
    <w:rsid w:val="00B85C76"/>
    <w:rsid w:val="00C56EE2"/>
    <w:rsid w:val="00D57A90"/>
    <w:rsid w:val="00D869DC"/>
    <w:rsid w:val="00DA54DA"/>
    <w:rsid w:val="00DE2695"/>
    <w:rsid w:val="00E1014D"/>
    <w:rsid w:val="00E66EB5"/>
    <w:rsid w:val="00E8569F"/>
    <w:rsid w:val="00E95031"/>
    <w:rsid w:val="00EA3BF1"/>
    <w:rsid w:val="00ED237D"/>
    <w:rsid w:val="00EF1D23"/>
    <w:rsid w:val="00F61A5C"/>
    <w:rsid w:val="00FC3800"/>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4FF2A-EE5D-46AA-8264-C475BE14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10</Pages>
  <Words>2877</Words>
  <Characters>16403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27</cp:revision>
  <cp:lastPrinted>2022-02-07T08:15:00Z</cp:lastPrinted>
  <dcterms:created xsi:type="dcterms:W3CDTF">2022-01-26T11:11:00Z</dcterms:created>
  <dcterms:modified xsi:type="dcterms:W3CDTF">2022-03-04T11:00:00Z</dcterms:modified>
</cp:coreProperties>
</file>