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DC" w:rsidRDefault="00BE68DC" w:rsidP="00BE68DC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BE68DC" w:rsidRDefault="00BE68DC" w:rsidP="00BE68D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BE68DC" w:rsidRDefault="00BE68DC" w:rsidP="00BE68D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BE68DC" w:rsidRDefault="00BE68DC" w:rsidP="00BE68D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E68DC" w:rsidRDefault="00BE68DC" w:rsidP="00BE68DC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«25» июня  2019 г.                                                                                      № 0187300005819000181-3</w:t>
      </w:r>
    </w:p>
    <w:p w:rsidR="00BE68DC" w:rsidRDefault="00BE68DC" w:rsidP="00BE68DC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BE68DC" w:rsidRDefault="00BE68DC" w:rsidP="00BE68D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E68DC" w:rsidRDefault="00BE68DC" w:rsidP="00BE68D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E68DC" w:rsidRDefault="00BE68DC" w:rsidP="00BE68D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E68DC" w:rsidRDefault="00BE68DC" w:rsidP="00BE68D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E68DC" w:rsidRDefault="00BE68DC" w:rsidP="00BE68D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BE68DC" w:rsidRDefault="00BE68DC" w:rsidP="00BE68D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E68DC" w:rsidRDefault="00BE68DC" w:rsidP="00BE68D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E68DC" w:rsidRDefault="00BE68DC" w:rsidP="00BE68DC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E68DC" w:rsidRDefault="00BE68DC" w:rsidP="00BE68D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BE68DC" w:rsidRDefault="00BE68DC" w:rsidP="00BE68D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Лекомцева</w:t>
      </w:r>
      <w:proofErr w:type="spellEnd"/>
      <w:r>
        <w:rPr>
          <w:rFonts w:ascii="PT Astra Serif" w:hAnsi="PT Astra Serif"/>
          <w:sz w:val="24"/>
          <w:szCs w:val="24"/>
        </w:rPr>
        <w:t xml:space="preserve"> Екатерина Алексеевна,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BE68DC" w:rsidRDefault="00BE68DC" w:rsidP="00BE68D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0187300005819000181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спецодежды.</w:t>
      </w:r>
    </w:p>
    <w:p w:rsidR="00BE68DC" w:rsidRDefault="00BE68DC" w:rsidP="00BE68D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0187300005819000181. </w:t>
      </w:r>
    </w:p>
    <w:p w:rsidR="00BE68DC" w:rsidRDefault="00BE68DC" w:rsidP="00BE68D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193862201554386220100100280021412244.</w:t>
      </w:r>
    </w:p>
    <w:p w:rsidR="00BE68DC" w:rsidRDefault="00BE68DC" w:rsidP="00BE68D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5».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ул. Садовая, 1Б,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Ханты - Мансийский автономный округ - Югра, Тюменская область. </w:t>
      </w:r>
      <w:proofErr w:type="gramEnd"/>
    </w:p>
    <w:p w:rsidR="00BE68DC" w:rsidRDefault="00BE68DC" w:rsidP="00BE68DC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18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BE68DC" w:rsidRDefault="00BE68DC" w:rsidP="00BE68DC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21.06.2019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BE68DC" w:rsidTr="00BE68D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68DC" w:rsidRDefault="00BE68DC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68DC" w:rsidRDefault="00BE68DC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E68DC" w:rsidTr="00BE68D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68DC" w:rsidRPr="008E6F3B" w:rsidRDefault="00BE68D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6F3B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68DC" w:rsidRPr="008E6F3B" w:rsidRDefault="008E6F3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E6F3B">
              <w:rPr>
                <w:rFonts w:ascii="PT Astra Serif" w:hAnsi="PT Astra Serif"/>
                <w:lang w:eastAsia="en-US"/>
              </w:rPr>
              <w:t>128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8E6F3B" w:rsidRPr="008E6F3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4239D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r w:rsidR="008E6F3B" w:rsidRPr="008E6F3B">
                    <w:rPr>
                      <w:rFonts w:ascii="Calibri" w:hAnsi="Calibri"/>
                      <w:b/>
                      <w:bCs/>
                    </w:rPr>
                    <w:t>КУЗНЕЦОВ ИГОРЬ ИГОРЕВИЧ</w:t>
                  </w:r>
                </w:p>
              </w:tc>
            </w:tr>
            <w:tr w:rsidR="008E6F3B" w:rsidRPr="008E6F3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42643.87</w:t>
                  </w:r>
                </w:p>
              </w:tc>
            </w:tr>
            <w:tr w:rsidR="008E6F3B" w:rsidRPr="008E6F3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213005144356</w:t>
                  </w:r>
                </w:p>
              </w:tc>
            </w:tr>
            <w:tr w:rsidR="008E6F3B" w:rsidRPr="008E6F3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/>
              </w:tc>
            </w:tr>
            <w:tr w:rsidR="008E6F3B" w:rsidRPr="008E6F3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- ЧУВАШСКАЯ РЕСПУБЛИКА -21, Г ЧЕБОКСАРЫ,</w:t>
                  </w:r>
                </w:p>
              </w:tc>
            </w:tr>
            <w:tr w:rsidR="008E6F3B" w:rsidRPr="008E6F3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- ЧУВАШСКАЯ РЕСПУБЛИКА -21, Г ЧЕБОКСАРЫ</w:t>
                  </w:r>
                </w:p>
              </w:tc>
            </w:tr>
            <w:tr w:rsidR="008E6F3B" w:rsidRPr="008E6F3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79276672656</w:t>
                  </w:r>
                </w:p>
              </w:tc>
            </w:tr>
            <w:tr w:rsidR="008E6F3B" w:rsidRPr="008E6F3B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Кузнецов Игорь Игоревич</w:t>
                  </w:r>
                </w:p>
              </w:tc>
            </w:tr>
          </w:tbl>
          <w:p w:rsidR="00BE68DC" w:rsidRPr="008E6F3B" w:rsidRDefault="00BE68D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68DC" w:rsidRPr="008E6F3B" w:rsidRDefault="008E6F3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E6F3B">
              <w:rPr>
                <w:rFonts w:ascii="Calibri" w:hAnsi="Calibri"/>
              </w:rPr>
              <w:t>42643.87</w:t>
            </w:r>
          </w:p>
        </w:tc>
      </w:tr>
      <w:tr w:rsidR="00BE68DC" w:rsidTr="00BE68D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68DC" w:rsidRPr="008E6F3B" w:rsidRDefault="00BE68D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6F3B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68DC" w:rsidRPr="008E6F3B" w:rsidRDefault="008E6F3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E6F3B">
              <w:rPr>
                <w:rFonts w:ascii="PT Astra Serif" w:hAnsi="PT Astra Serif"/>
                <w:lang w:eastAsia="en-US"/>
              </w:rPr>
              <w:t>114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8E6F3B" w:rsidRPr="008E6F3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"ХБ-плюс"</w:t>
                  </w:r>
                </w:p>
              </w:tc>
            </w:tr>
            <w:tr w:rsidR="008E6F3B" w:rsidRPr="008E6F3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42643.87</w:t>
                  </w:r>
                </w:p>
              </w:tc>
            </w:tr>
            <w:tr w:rsidR="008E6F3B" w:rsidRPr="008E6F3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5401217426</w:t>
                  </w:r>
                </w:p>
              </w:tc>
            </w:tr>
            <w:tr w:rsidR="008E6F3B" w:rsidRPr="008E6F3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540501001</w:t>
                  </w:r>
                </w:p>
              </w:tc>
            </w:tr>
            <w:tr w:rsidR="008E6F3B" w:rsidRPr="008E6F3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630039, Новосибирская </w:t>
                  </w:r>
                  <w:proofErr w:type="spellStart"/>
                  <w:r w:rsidRPr="008E6F3B">
                    <w:rPr>
                      <w:rFonts w:ascii="Calibri" w:hAnsi="Calibri"/>
                    </w:rPr>
                    <w:t>обл</w:t>
                  </w:r>
                  <w:proofErr w:type="spellEnd"/>
                  <w:r w:rsidRPr="008E6F3B">
                    <w:rPr>
                      <w:rFonts w:ascii="Calibri" w:hAnsi="Calibri"/>
                    </w:rPr>
                    <w:t xml:space="preserve">, Новосибирск г, </w:t>
                  </w:r>
                  <w:proofErr w:type="spellStart"/>
                  <w:r w:rsidRPr="008E6F3B">
                    <w:rPr>
                      <w:rFonts w:ascii="Calibri" w:hAnsi="Calibri"/>
                    </w:rPr>
                    <w:t>ул</w:t>
                  </w:r>
                  <w:proofErr w:type="gramStart"/>
                  <w:r w:rsidRPr="008E6F3B">
                    <w:rPr>
                      <w:rFonts w:ascii="Calibri" w:hAnsi="Calibri"/>
                    </w:rPr>
                    <w:t>.Н</w:t>
                  </w:r>
                  <w:proofErr w:type="gramEnd"/>
                  <w:r w:rsidRPr="008E6F3B">
                    <w:rPr>
                      <w:rFonts w:ascii="Calibri" w:hAnsi="Calibri"/>
                    </w:rPr>
                    <w:t>икитина</w:t>
                  </w:r>
                  <w:proofErr w:type="spellEnd"/>
                  <w:r w:rsidRPr="008E6F3B">
                    <w:rPr>
                      <w:rFonts w:ascii="Calibri" w:hAnsi="Calibri"/>
                    </w:rPr>
                    <w:t>, д.120 - 3</w:t>
                  </w:r>
                </w:p>
              </w:tc>
            </w:tr>
            <w:tr w:rsidR="008E6F3B" w:rsidRPr="008E6F3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630039, Новосибирская </w:t>
                  </w:r>
                  <w:proofErr w:type="spellStart"/>
                  <w:r w:rsidRPr="008E6F3B">
                    <w:rPr>
                      <w:rFonts w:ascii="Calibri" w:hAnsi="Calibri"/>
                    </w:rPr>
                    <w:t>обл</w:t>
                  </w:r>
                  <w:proofErr w:type="spellEnd"/>
                  <w:r w:rsidRPr="008E6F3B">
                    <w:rPr>
                      <w:rFonts w:ascii="Calibri" w:hAnsi="Calibri"/>
                    </w:rPr>
                    <w:t xml:space="preserve">, Новосибирск г, </w:t>
                  </w:r>
                  <w:proofErr w:type="spellStart"/>
                  <w:r w:rsidRPr="008E6F3B">
                    <w:rPr>
                      <w:rFonts w:ascii="Calibri" w:hAnsi="Calibri"/>
                    </w:rPr>
                    <w:t>ул</w:t>
                  </w:r>
                  <w:proofErr w:type="gramStart"/>
                  <w:r w:rsidRPr="008E6F3B">
                    <w:rPr>
                      <w:rFonts w:ascii="Calibri" w:hAnsi="Calibri"/>
                    </w:rPr>
                    <w:t>.Н</w:t>
                  </w:r>
                  <w:proofErr w:type="gramEnd"/>
                  <w:r w:rsidRPr="008E6F3B">
                    <w:rPr>
                      <w:rFonts w:ascii="Calibri" w:hAnsi="Calibri"/>
                    </w:rPr>
                    <w:t>икитина</w:t>
                  </w:r>
                  <w:proofErr w:type="spellEnd"/>
                  <w:r w:rsidRPr="008E6F3B">
                    <w:rPr>
                      <w:rFonts w:ascii="Calibri" w:hAnsi="Calibri"/>
                    </w:rPr>
                    <w:t>, д.120 - 3</w:t>
                  </w:r>
                </w:p>
              </w:tc>
            </w:tr>
            <w:tr w:rsidR="008E6F3B" w:rsidRPr="008E6F3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8(383) 377-77-00</w:t>
                  </w:r>
                </w:p>
              </w:tc>
            </w:tr>
            <w:tr w:rsidR="008E6F3B" w:rsidRPr="008E6F3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>Громов Алексей Анатольевич</w:t>
                  </w:r>
                </w:p>
              </w:tc>
            </w:tr>
            <w:tr w:rsidR="008E6F3B" w:rsidRPr="008E6F3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6F3B" w:rsidRPr="008E6F3B" w:rsidRDefault="008E6F3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E6F3B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"ХБ-плюс"</w:t>
                  </w:r>
                </w:p>
              </w:tc>
            </w:tr>
          </w:tbl>
          <w:p w:rsidR="00BE68DC" w:rsidRPr="008E6F3B" w:rsidRDefault="00BE68D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68DC" w:rsidRPr="008E6F3B" w:rsidRDefault="008E6F3B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8E6F3B">
              <w:rPr>
                <w:rFonts w:ascii="Calibri" w:hAnsi="Calibri"/>
              </w:rPr>
              <w:t>42643.87</w:t>
            </w:r>
          </w:p>
        </w:tc>
      </w:tr>
    </w:tbl>
    <w:p w:rsidR="00BE68DC" w:rsidRPr="008E6F3B" w:rsidRDefault="00BE68DC" w:rsidP="008E6F3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</w:t>
      </w:r>
      <w:r w:rsidR="008E6F3B">
        <w:rPr>
          <w:rFonts w:ascii="PT Astra Serif" w:hAnsi="PT Astra Serif"/>
          <w:sz w:val="24"/>
          <w:szCs w:val="24"/>
        </w:rPr>
        <w:t xml:space="preserve">х частей заявок принято решение </w:t>
      </w:r>
      <w:r w:rsidRPr="008E6F3B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BE68DC" w:rsidRPr="008E6F3B" w:rsidRDefault="00BE68DC" w:rsidP="00BE68D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8E6F3B">
        <w:rPr>
          <w:rFonts w:ascii="PT Astra Serif" w:hAnsi="PT Astra Serif"/>
          <w:sz w:val="24"/>
          <w:szCs w:val="24"/>
        </w:rPr>
        <w:t xml:space="preserve">- </w:t>
      </w:r>
      <w:r w:rsidR="002E1945">
        <w:rPr>
          <w:rFonts w:ascii="PT Astra Serif" w:hAnsi="PT Astra Serif"/>
          <w:sz w:val="24"/>
          <w:szCs w:val="24"/>
        </w:rPr>
        <w:t>И</w:t>
      </w:r>
      <w:r w:rsidR="002E1945">
        <w:rPr>
          <w:rFonts w:ascii="PT Astra Serif" w:hAnsi="PT Astra Serif"/>
          <w:sz w:val="24"/>
          <w:szCs w:val="24"/>
        </w:rPr>
        <w:t>ндивидуальный предприниматель</w:t>
      </w:r>
      <w:r w:rsidR="002E1945" w:rsidRPr="008E6F3B">
        <w:rPr>
          <w:rFonts w:ascii="PT Astra Serif" w:hAnsi="PT Astra Serif"/>
          <w:sz w:val="24"/>
          <w:szCs w:val="24"/>
        </w:rPr>
        <w:t xml:space="preserve"> </w:t>
      </w:r>
      <w:r w:rsidR="008E6F3B" w:rsidRPr="008E6F3B">
        <w:rPr>
          <w:rFonts w:ascii="PT Astra Serif" w:hAnsi="PT Astra Serif"/>
          <w:sz w:val="24"/>
          <w:szCs w:val="24"/>
        </w:rPr>
        <w:t>КУЗНЕЦОВ ИГОРЬ ИГОРЕВИЧ</w:t>
      </w:r>
      <w:r w:rsidRPr="008E6F3B">
        <w:rPr>
          <w:rFonts w:ascii="PT Astra Serif" w:hAnsi="PT Astra Serif"/>
          <w:sz w:val="24"/>
          <w:szCs w:val="24"/>
        </w:rPr>
        <w:t>;</w:t>
      </w:r>
    </w:p>
    <w:p w:rsidR="00BE68DC" w:rsidRDefault="00BE68DC" w:rsidP="008E6F3B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8E6F3B">
        <w:rPr>
          <w:rFonts w:ascii="PT Astra Serif" w:hAnsi="PT Astra Serif"/>
          <w:sz w:val="24"/>
          <w:szCs w:val="24"/>
        </w:rPr>
        <w:t xml:space="preserve">- </w:t>
      </w:r>
      <w:r w:rsidR="008E6F3B" w:rsidRPr="008E6F3B">
        <w:rPr>
          <w:rFonts w:ascii="PT Astra Serif" w:hAnsi="PT Astra Serif"/>
          <w:sz w:val="24"/>
          <w:szCs w:val="24"/>
        </w:rPr>
        <w:t>Общество с ограниченной ответственностью "ХБ-плюс"</w:t>
      </w:r>
      <w:r w:rsidRPr="008E6F3B">
        <w:rPr>
          <w:rFonts w:ascii="PT Astra Serif" w:hAnsi="PT Astra Serif"/>
          <w:sz w:val="24"/>
          <w:szCs w:val="24"/>
        </w:rPr>
        <w:t>.</w:t>
      </w:r>
    </w:p>
    <w:p w:rsidR="00BE68DC" w:rsidRDefault="00BE68DC" w:rsidP="00BE68D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21.06.2019 победителем аукциона в электронной форме признается </w:t>
      </w:r>
      <w:r w:rsidR="004239DE">
        <w:rPr>
          <w:rFonts w:ascii="PT Astra Serif" w:hAnsi="PT Astra Serif"/>
          <w:sz w:val="24"/>
          <w:szCs w:val="24"/>
        </w:rPr>
        <w:t>и</w:t>
      </w:r>
      <w:r w:rsidR="004239DE" w:rsidRPr="004239DE">
        <w:rPr>
          <w:rFonts w:ascii="PT Astra Serif" w:hAnsi="PT Astra Serif"/>
          <w:sz w:val="24"/>
          <w:szCs w:val="24"/>
        </w:rPr>
        <w:t xml:space="preserve">ндивидуальный предприниматель </w:t>
      </w:r>
      <w:r w:rsidR="008E6F3B" w:rsidRPr="008E6F3B">
        <w:rPr>
          <w:rFonts w:ascii="PT Astra Serif" w:hAnsi="PT Astra Serif"/>
          <w:sz w:val="24"/>
          <w:szCs w:val="24"/>
        </w:rPr>
        <w:t>КУЗНЕЦОВ ИГОРЬ ИГОРЕВИЧ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8E6F3B" w:rsidRPr="008E6F3B">
        <w:rPr>
          <w:rFonts w:ascii="PT Astra Serif" w:hAnsi="PT Astra Serif"/>
          <w:sz w:val="24"/>
          <w:szCs w:val="24"/>
        </w:rPr>
        <w:t>42 643.87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BE68DC" w:rsidRDefault="00BE68DC" w:rsidP="00BE68D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применять антидемпинговые меры, предусмотренные положениями ст. 37  Федерального закона от 05.04.2013 № 44-ФЗ.</w:t>
      </w:r>
    </w:p>
    <w:p w:rsidR="00BE68DC" w:rsidRDefault="00BE68DC" w:rsidP="00BE68DC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E68DC" w:rsidRDefault="00BE68DC" w:rsidP="00BE68D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BE68DC" w:rsidRDefault="00BE68DC" w:rsidP="00BE68D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BE68DC" w:rsidRDefault="00BE68DC" w:rsidP="00BE68DC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BE68DC" w:rsidTr="00BE68D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E68DC" w:rsidTr="00BE68D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C" w:rsidRDefault="00BE68DC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BE68DC" w:rsidTr="00BE68D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BE68DC" w:rsidTr="00BE68D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C" w:rsidRDefault="00BE68DC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BE68DC" w:rsidTr="00BE68D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C" w:rsidRDefault="00BE68DC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BE68DC" w:rsidTr="00BE68D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C" w:rsidRDefault="00BE68DC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BE68DC" w:rsidTr="00BE68DC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8DC" w:rsidRDefault="00BE68DC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8DC" w:rsidRDefault="00BE68DC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BE68DC" w:rsidRDefault="00BE68DC" w:rsidP="00BE68DC">
      <w:pPr>
        <w:jc w:val="both"/>
        <w:rPr>
          <w:rFonts w:ascii="PT Serif" w:hAnsi="PT Serif"/>
          <w:b/>
          <w:sz w:val="24"/>
          <w:szCs w:val="24"/>
        </w:rPr>
      </w:pPr>
    </w:p>
    <w:p w:rsidR="00BE68DC" w:rsidRDefault="00BE68DC" w:rsidP="00BE68DC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BE68DC" w:rsidRDefault="00BE68DC" w:rsidP="00BE68DC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BE68DC" w:rsidRDefault="00BE68DC" w:rsidP="00BE68DC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BE68DC" w:rsidRDefault="00BE68DC" w:rsidP="00BE68DC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BE68DC" w:rsidRDefault="00BE68DC" w:rsidP="00BE68D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BE68DC" w:rsidRDefault="00BE68DC" w:rsidP="00BE68D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BE68DC" w:rsidRDefault="00BE68DC" w:rsidP="00BE68D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BE68DC" w:rsidRDefault="00BE68DC" w:rsidP="00BE68D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BE68DC" w:rsidRDefault="00BE68DC" w:rsidP="00BE68DC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BE68DC" w:rsidRDefault="00BE68DC" w:rsidP="00BE68DC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BE68DC" w:rsidRDefault="00BE68DC" w:rsidP="00BE68DC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 xml:space="preserve">Е.А. </w:t>
      </w:r>
      <w:proofErr w:type="spellStart"/>
      <w:r>
        <w:rPr>
          <w:rFonts w:ascii="PT Serif" w:hAnsi="PT Serif"/>
          <w:sz w:val="24"/>
        </w:rPr>
        <w:t>Лекомцева</w:t>
      </w:r>
      <w:proofErr w:type="spellEnd"/>
    </w:p>
    <w:p w:rsidR="003E2CF3" w:rsidRDefault="003E2CF3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 w:rsidP="00B35657">
      <w:pPr>
        <w:ind w:right="-66"/>
        <w:jc w:val="right"/>
        <w:sectPr w:rsidR="00B35657" w:rsidSect="008E6F3B">
          <w:pgSz w:w="11906" w:h="16838"/>
          <w:pgMar w:top="426" w:right="850" w:bottom="284" w:left="567" w:header="708" w:footer="708" w:gutter="0"/>
          <w:cols w:space="708"/>
          <w:docGrid w:linePitch="360"/>
        </w:sectPr>
      </w:pPr>
    </w:p>
    <w:p w:rsidR="00B35657" w:rsidRDefault="00B35657" w:rsidP="00B35657">
      <w:pPr>
        <w:ind w:right="-66"/>
        <w:jc w:val="right"/>
        <w:rPr>
          <w:sz w:val="18"/>
          <w:szCs w:val="18"/>
        </w:rPr>
      </w:pPr>
      <w:r>
        <w:lastRenderedPageBreak/>
        <w:t xml:space="preserve">                                                                                                                       </w:t>
      </w:r>
      <w:r>
        <w:rPr>
          <w:sz w:val="18"/>
          <w:szCs w:val="18"/>
        </w:rPr>
        <w:t>Приложение 1</w:t>
      </w:r>
    </w:p>
    <w:p w:rsidR="00B35657" w:rsidRDefault="00B35657" w:rsidP="00B35657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протоколу </w:t>
      </w:r>
    </w:p>
    <w:p w:rsidR="00B35657" w:rsidRDefault="00B35657" w:rsidP="00B35657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подведения итогов</w:t>
      </w:r>
    </w:p>
    <w:p w:rsidR="00B35657" w:rsidRDefault="00B35657" w:rsidP="00B35657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аукциона в электронной форме</w:t>
      </w:r>
    </w:p>
    <w:p w:rsidR="00B35657" w:rsidRDefault="00B35657" w:rsidP="00B35657">
      <w:pPr>
        <w:tabs>
          <w:tab w:val="left" w:pos="3930"/>
          <w:tab w:val="right" w:pos="9355"/>
        </w:tabs>
        <w:ind w:right="-66"/>
        <w:jc w:val="right"/>
      </w:pPr>
      <w:r>
        <w:rPr>
          <w:sz w:val="18"/>
          <w:szCs w:val="18"/>
        </w:rPr>
        <w:t xml:space="preserve">от «25» июня  2019 г. № </w:t>
      </w:r>
      <w:r>
        <w:rPr>
          <w:rFonts w:ascii="Arial" w:hAnsi="Arial" w:cs="Arial"/>
          <w:color w:val="000000"/>
          <w:sz w:val="17"/>
          <w:szCs w:val="17"/>
        </w:rPr>
        <w:t>0187300005819000181-3</w:t>
      </w:r>
    </w:p>
    <w:p w:rsidR="00B35657" w:rsidRDefault="00B35657" w:rsidP="00B35657">
      <w:pPr>
        <w:jc w:val="center"/>
      </w:pPr>
      <w:r>
        <w:t xml:space="preserve">Таблица рассмотрения подведения итогов </w:t>
      </w:r>
    </w:p>
    <w:p w:rsidR="00B35657" w:rsidRDefault="00B35657" w:rsidP="00B35657">
      <w:pPr>
        <w:jc w:val="center"/>
        <w:rPr>
          <w:bCs/>
        </w:rPr>
      </w:pPr>
      <w:r>
        <w:t xml:space="preserve"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</w:t>
      </w:r>
      <w:r>
        <w:rPr>
          <w:bCs/>
        </w:rPr>
        <w:t>спецодежды.</w:t>
      </w:r>
    </w:p>
    <w:p w:rsidR="00B35657" w:rsidRDefault="00B35657" w:rsidP="00B35657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B35657" w:rsidRDefault="00B35657" w:rsidP="00B35657">
      <w:pPr>
        <w:rPr>
          <w:rFonts w:eastAsia="Calibri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9"/>
        <w:gridCol w:w="3120"/>
        <w:gridCol w:w="3403"/>
        <w:gridCol w:w="3403"/>
      </w:tblGrid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128 - Индивидуальный предприниматель Кузнецов Игорь Игоревич  </w:t>
            </w:r>
            <w:r>
              <w:rPr>
                <w:lang w:eastAsia="en-US"/>
              </w:rPr>
              <w:t>г. Чебоксары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114 Общество с Ограниченной Ответственностью «ХБ-ПЛЮС»      г. Новосибирск</w:t>
            </w: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>
              <w:rPr>
                <w:sz w:val="12"/>
                <w:szCs w:val="12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заявителя по уплате этих сумм исполненной или 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uppressAutoHyphens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>
              <w:rPr>
                <w:sz w:val="12"/>
                <w:szCs w:val="12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uppressAutoHyphens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widowControl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widowControl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widowControl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5. </w:t>
            </w:r>
            <w:proofErr w:type="gramStart"/>
            <w:r>
              <w:rPr>
                <w:sz w:val="12"/>
                <w:szCs w:val="12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lastRenderedPageBreak/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57" w:rsidRDefault="00B3565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7. </w:t>
            </w:r>
            <w:r>
              <w:rPr>
                <w:color w:val="000000"/>
                <w:kern w:val="2"/>
                <w:sz w:val="12"/>
                <w:szCs w:val="12"/>
                <w:lang w:eastAsia="en-US"/>
              </w:rPr>
              <w:t>Принадлежность участника  закупки к офшорным компаниям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9. Соответствие участника аукциона и (или) </w:t>
            </w:r>
            <w:proofErr w:type="gramStart"/>
            <w:r>
              <w:rPr>
                <w:sz w:val="12"/>
                <w:szCs w:val="12"/>
                <w:lang w:eastAsia="en-US"/>
              </w:rPr>
              <w:t>предлагаемых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bCs/>
                <w:color w:val="000000"/>
                <w:sz w:val="12"/>
                <w:szCs w:val="12"/>
                <w:lang w:eastAsia="en-US"/>
              </w:rPr>
            </w:pP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 xml:space="preserve">декларация в соответствии с постановлением </w:t>
            </w:r>
            <w:r>
              <w:rPr>
                <w:bCs/>
                <w:color w:val="000000"/>
                <w:sz w:val="12"/>
                <w:szCs w:val="12"/>
                <w:lang w:eastAsia="en-US"/>
              </w:rPr>
              <w:t>Правительства РФ от 11.08.2014 N 791 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нужд" страны происхождения товаров, материалов и полуфабрикатов, используемых при производстве товаров, являющихся предметом закупки.</w:t>
            </w:r>
            <w:proofErr w:type="gramEnd"/>
            <w:r>
              <w:rPr>
                <w:bCs/>
                <w:color w:val="000000"/>
                <w:sz w:val="12"/>
                <w:szCs w:val="12"/>
                <w:lang w:eastAsia="en-US"/>
              </w:rPr>
              <w:t xml:space="preserve"> Ответственность за достоверность сведений о стране происхождения таких материалов или полуфабрикатов несет участник закупки.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35657" w:rsidTr="006220A9">
        <w:trPr>
          <w:trHeight w:val="203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657" w:rsidRDefault="00B3565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57" w:rsidRDefault="00B3565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B35657" w:rsidRDefault="00B3565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B35657" w:rsidTr="006220A9">
        <w:trPr>
          <w:trHeight w:val="203"/>
        </w:trPr>
        <w:tc>
          <w:tcPr>
            <w:tcW w:w="8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pacing w:after="6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 Начальная (максимальная)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46 352 </w:t>
            </w:r>
            <w:r>
              <w:rPr>
                <w:b/>
                <w:bCs/>
                <w:sz w:val="18"/>
                <w:szCs w:val="18"/>
                <w:lang w:eastAsia="en-US"/>
              </w:rPr>
              <w:t>руб. 03 коп.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57" w:rsidRDefault="00B35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57" w:rsidRDefault="00B3565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B35657" w:rsidTr="006220A9">
        <w:trPr>
          <w:trHeight w:val="203"/>
        </w:trPr>
        <w:tc>
          <w:tcPr>
            <w:tcW w:w="8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pacing w:after="6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  Предложенная цена контракта, рублей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42 643,87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42 643,87</w:t>
            </w:r>
          </w:p>
        </w:tc>
      </w:tr>
      <w:tr w:rsidR="00B35657" w:rsidTr="006220A9">
        <w:trPr>
          <w:trHeight w:val="203"/>
        </w:trPr>
        <w:tc>
          <w:tcPr>
            <w:tcW w:w="8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pacing w:after="60" w:line="276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13.  Номер по ранжированию по итогам проведения аукциона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657" w:rsidRDefault="00B3565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:rsidR="00B35657" w:rsidRDefault="00B35657">
      <w:pPr>
        <w:sectPr w:rsidR="00B35657" w:rsidSect="00B35657">
          <w:pgSz w:w="16838" w:h="11906" w:orient="landscape"/>
          <w:pgMar w:top="567" w:right="425" w:bottom="851" w:left="284" w:header="709" w:footer="709" w:gutter="0"/>
          <w:cols w:space="708"/>
          <w:docGrid w:linePitch="360"/>
        </w:sectPr>
      </w:pPr>
    </w:p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p w:rsidR="00B35657" w:rsidRDefault="00B35657"/>
    <w:sectPr w:rsidR="00B35657" w:rsidSect="008E6F3B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6D"/>
    <w:rsid w:val="002E1945"/>
    <w:rsid w:val="003E2CF3"/>
    <w:rsid w:val="004239DE"/>
    <w:rsid w:val="006220A9"/>
    <w:rsid w:val="006D6B6D"/>
    <w:rsid w:val="00823F29"/>
    <w:rsid w:val="008E6F3B"/>
    <w:rsid w:val="00B35657"/>
    <w:rsid w:val="00BB75D2"/>
    <w:rsid w:val="00BE68D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E68D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BE6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BE68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56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6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E68D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BE6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BE68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56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6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2019-06-24T10:42:00Z</cp:lastPrinted>
  <dcterms:created xsi:type="dcterms:W3CDTF">2019-06-21T07:26:00Z</dcterms:created>
  <dcterms:modified xsi:type="dcterms:W3CDTF">2019-06-25T09:06:00Z</dcterms:modified>
</cp:coreProperties>
</file>