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68" w:rsidRDefault="00EB7868" w:rsidP="00EB7868">
      <w:pPr>
        <w:jc w:val="center"/>
        <w:rPr>
          <w:b/>
        </w:rPr>
      </w:pPr>
      <w:r>
        <w:rPr>
          <w:b/>
        </w:rPr>
        <w:t xml:space="preserve">Муниципальное образование  городской округ – город </w:t>
      </w:r>
      <w:proofErr w:type="spellStart"/>
      <w:r>
        <w:rPr>
          <w:b/>
        </w:rPr>
        <w:t>Югорск</w:t>
      </w:r>
      <w:proofErr w:type="spellEnd"/>
    </w:p>
    <w:p w:rsidR="00EB7868" w:rsidRDefault="00EB7868" w:rsidP="00EB7868">
      <w:pPr>
        <w:jc w:val="center"/>
        <w:rPr>
          <w:b/>
        </w:rPr>
      </w:pPr>
      <w:r>
        <w:rPr>
          <w:b/>
        </w:rPr>
        <w:t xml:space="preserve">Администрация города </w:t>
      </w:r>
      <w:proofErr w:type="spellStart"/>
      <w:r>
        <w:rPr>
          <w:b/>
        </w:rPr>
        <w:t>Югорска</w:t>
      </w:r>
      <w:proofErr w:type="spellEnd"/>
    </w:p>
    <w:p w:rsidR="00EB7868" w:rsidRDefault="00EB7868" w:rsidP="00EB7868">
      <w:pPr>
        <w:jc w:val="center"/>
        <w:rPr>
          <w:b/>
          <w:bCs/>
        </w:rPr>
      </w:pPr>
      <w:r>
        <w:rPr>
          <w:b/>
          <w:bCs/>
        </w:rPr>
        <w:t>ПРОТОКОЛ</w:t>
      </w:r>
    </w:p>
    <w:p w:rsidR="00EB7868" w:rsidRDefault="00EB7868" w:rsidP="00EB7868">
      <w:pPr>
        <w:jc w:val="center"/>
        <w:rPr>
          <w:b/>
        </w:rPr>
      </w:pPr>
      <w:r>
        <w:rPr>
          <w:b/>
        </w:rPr>
        <w:t>рассмотрения заявок на участие в аукционе в электронной форме</w:t>
      </w:r>
    </w:p>
    <w:p w:rsidR="00EB7868" w:rsidRDefault="00EB7868" w:rsidP="00EB7868">
      <w:pPr>
        <w:jc w:val="center"/>
        <w:rPr>
          <w:b/>
        </w:rPr>
      </w:pPr>
    </w:p>
    <w:p w:rsidR="00EB7868" w:rsidRDefault="00EB7868" w:rsidP="00EB7868">
      <w:pPr>
        <w:ind w:left="-426"/>
        <w:jc w:val="center"/>
        <w:rPr>
          <w:b/>
        </w:rPr>
      </w:pPr>
      <w:r>
        <w:t xml:space="preserve">         «08» июня 2017 г.                                                                                        № 01873000058170000155-1</w:t>
      </w:r>
    </w:p>
    <w:p w:rsidR="00EB7868" w:rsidRDefault="00EB7868" w:rsidP="00EB7868">
      <w:pPr>
        <w:jc w:val="both"/>
        <w:rPr>
          <w:rFonts w:eastAsia="Andale Sans UI"/>
          <w:noProof/>
          <w:lang w:eastAsia="fa-IR" w:bidi="fa-IR"/>
        </w:rPr>
      </w:pPr>
      <w:r>
        <w:rPr>
          <w:rFonts w:eastAsia="Andale Sans UI"/>
          <w:noProof/>
          <w:lang w:eastAsia="fa-IR" w:bidi="fa-IR"/>
        </w:rPr>
        <w:t xml:space="preserve">ПРИСУТСТВОВАЛИ: </w:t>
      </w:r>
    </w:p>
    <w:p w:rsidR="00EB7868" w:rsidRDefault="00EB7868" w:rsidP="00EB7868">
      <w:pPr>
        <w:jc w:val="both"/>
        <w:rPr>
          <w:rFonts w:eastAsia="Andale Sans UI"/>
          <w:noProof/>
          <w:lang w:eastAsia="fa-IR" w:bidi="fa-IR"/>
        </w:rPr>
      </w:pPr>
      <w:r>
        <w:rPr>
          <w:rFonts w:eastAsia="Andale Sans UI"/>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B7868" w:rsidRDefault="00EB7868" w:rsidP="00EB7868">
      <w:pPr>
        <w:rPr>
          <w:kern w:val="0"/>
          <w:lang w:eastAsia="ru-RU"/>
        </w:rPr>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EB7868" w:rsidRDefault="00EB7868" w:rsidP="00EB7868">
      <w:pPr>
        <w:rPr>
          <w:rFonts w:eastAsiaTheme="minorHAnsi"/>
          <w:lang w:eastAsia="en-US"/>
        </w:rPr>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EB7868" w:rsidRDefault="00EB7868" w:rsidP="00EB7868">
      <w:pPr>
        <w:rPr>
          <w:lang w:eastAsia="ru-RU"/>
        </w:rPr>
      </w:pPr>
      <w:r>
        <w:t>3. Н.А. Морозова – советник руководителя;</w:t>
      </w:r>
    </w:p>
    <w:p w:rsidR="00EB7868" w:rsidRDefault="00EB7868" w:rsidP="00EB7868">
      <w:r>
        <w:t xml:space="preserve">4. Т.И. </w:t>
      </w:r>
      <w:proofErr w:type="spellStart"/>
      <w:r>
        <w:t>Долгодворова</w:t>
      </w:r>
      <w:proofErr w:type="spellEnd"/>
      <w:r>
        <w:t xml:space="preserve"> - заместитель главы города </w:t>
      </w:r>
      <w:proofErr w:type="spellStart"/>
      <w:r>
        <w:t>Югорска</w:t>
      </w:r>
      <w:proofErr w:type="spellEnd"/>
      <w:r>
        <w:t>;</w:t>
      </w:r>
    </w:p>
    <w:p w:rsidR="00EB7868" w:rsidRDefault="00EB7868" w:rsidP="00EB7868">
      <w: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EB7868" w:rsidRDefault="00EB7868" w:rsidP="00EB7868">
      <w:pPr>
        <w:jc w:val="both"/>
      </w:pPr>
      <w:r>
        <w:t xml:space="preserve">6. Н.Б. Захарова - начальник отдела муниципальных закупок управления экономической политики администрации города </w:t>
      </w:r>
      <w:proofErr w:type="spellStart"/>
      <w:r>
        <w:t>Югорска</w:t>
      </w:r>
      <w:proofErr w:type="spellEnd"/>
      <w:r>
        <w:t>.</w:t>
      </w:r>
    </w:p>
    <w:p w:rsidR="00EB7868" w:rsidRDefault="00EB7868" w:rsidP="00EB7868">
      <w:pPr>
        <w:jc w:val="both"/>
        <w:rPr>
          <w:noProof/>
          <w:szCs w:val="20"/>
        </w:rPr>
      </w:pPr>
      <w:r>
        <w:rPr>
          <w:noProof/>
        </w:rPr>
        <w:t>Всего присутствовали 6 членов комиссии из 8.</w:t>
      </w:r>
    </w:p>
    <w:p w:rsidR="00EB7868" w:rsidRDefault="00EB7868" w:rsidP="00EB7868">
      <w:pPr>
        <w:pStyle w:val="a4"/>
        <w:tabs>
          <w:tab w:val="num" w:pos="142"/>
        </w:tabs>
        <w:autoSpaceDE w:val="0"/>
        <w:adjustRightInd w:val="0"/>
        <w:spacing w:after="0" w:line="240" w:lineRule="auto"/>
        <w:ind w:left="142"/>
        <w:jc w:val="both"/>
        <w:rPr>
          <w:rFonts w:ascii="Times New Roman" w:hAnsi="Times New Roman"/>
        </w:rPr>
      </w:pPr>
      <w:r>
        <w:rPr>
          <w:rFonts w:ascii="Times New Roman" w:hAnsi="Times New Roman"/>
        </w:rPr>
        <w:t xml:space="preserve">Представитель заказчика: Скороходова Людмила </w:t>
      </w:r>
      <w:proofErr w:type="spellStart"/>
      <w:r>
        <w:rPr>
          <w:rFonts w:ascii="Times New Roman" w:hAnsi="Times New Roman"/>
        </w:rPr>
        <w:t>Сабитовна</w:t>
      </w:r>
      <w:proofErr w:type="spellEnd"/>
      <w:r>
        <w:rPr>
          <w:rFonts w:ascii="Times New Roman" w:hAnsi="Times New Roman"/>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rFonts w:ascii="Times New Roman" w:hAnsi="Times New Roman"/>
        </w:rPr>
        <w:t>Югорска</w:t>
      </w:r>
      <w:proofErr w:type="spellEnd"/>
      <w:r>
        <w:rPr>
          <w:rFonts w:ascii="Times New Roman" w:hAnsi="Times New Roman"/>
        </w:rPr>
        <w:t>.</w:t>
      </w:r>
    </w:p>
    <w:p w:rsidR="00EB7868" w:rsidRDefault="00EB7868" w:rsidP="00EB7868">
      <w:pPr>
        <w:suppressAutoHyphens w:val="0"/>
        <w:autoSpaceDE w:val="0"/>
        <w:adjustRightInd w:val="0"/>
        <w:jc w:val="both"/>
        <w:rPr>
          <w:color w:val="000000"/>
          <w:sz w:val="22"/>
          <w:szCs w:val="22"/>
        </w:rPr>
      </w:pPr>
      <w:r>
        <w:t xml:space="preserve">1. Наименование аукциона: аукцион в электронной форме № 0187300005817000155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установке детского городка возле жилого дома №16 по ул. Толстого в городе </w:t>
      </w:r>
      <w:proofErr w:type="spellStart"/>
      <w:r>
        <w:rPr>
          <w:sz w:val="22"/>
          <w:szCs w:val="22"/>
        </w:rPr>
        <w:t>Югорске</w:t>
      </w:r>
      <w:proofErr w:type="spellEnd"/>
      <w:r>
        <w:rPr>
          <w:sz w:val="22"/>
          <w:szCs w:val="22"/>
        </w:rPr>
        <w:t>.</w:t>
      </w:r>
    </w:p>
    <w:p w:rsidR="00EB7868" w:rsidRDefault="00EB7868" w:rsidP="00EB7868">
      <w:pPr>
        <w:suppressAutoHyphens w:val="0"/>
        <w:autoSpaceDE w:val="0"/>
        <w:adjustRightInd w:val="0"/>
        <w:jc w:val="both"/>
        <w:rPr>
          <w:color w:val="000000"/>
          <w:sz w:val="22"/>
          <w:szCs w:val="22"/>
        </w:rPr>
      </w:pPr>
      <w:r>
        <w:rPr>
          <w:color w:val="000000"/>
          <w:sz w:val="22"/>
          <w:szCs w:val="22"/>
        </w:rPr>
        <w:t xml:space="preserve">1.1Номер извещения о проведении торгов на официальном сайте – </w:t>
      </w:r>
      <w:hyperlink r:id="rId6" w:history="1">
        <w:r w:rsidRPr="00EB7868">
          <w:t>http://zakupki.gov.ru/</w:t>
        </w:r>
      </w:hyperlink>
      <w:r>
        <w:rPr>
          <w:color w:val="000000"/>
          <w:sz w:val="22"/>
          <w:szCs w:val="22"/>
        </w:rPr>
        <w:t xml:space="preserve">, код аукциона 0187300005817000155, дата публикации 30.05.2017. Идентификационный код закупки: </w:t>
      </w:r>
      <w:r w:rsidRPr="00EB7868">
        <w:rPr>
          <w:color w:val="000000"/>
          <w:sz w:val="22"/>
          <w:szCs w:val="22"/>
        </w:rPr>
        <w:t>173862201231086220100100280024399244</w:t>
      </w:r>
      <w:r>
        <w:rPr>
          <w:color w:val="000000"/>
          <w:sz w:val="22"/>
          <w:szCs w:val="22"/>
        </w:rPr>
        <w:t>.</w:t>
      </w:r>
    </w:p>
    <w:p w:rsidR="00EB7868" w:rsidRDefault="00EB7868" w:rsidP="00EB7868">
      <w:pPr>
        <w:suppressAutoHyphens w:val="0"/>
        <w:autoSpaceDE w:val="0"/>
        <w:adjustRightInd w:val="0"/>
        <w:jc w:val="both"/>
      </w:pPr>
      <w:r>
        <w:rPr>
          <w:color w:val="000000"/>
          <w:sz w:val="22"/>
          <w:szCs w:val="22"/>
        </w:rPr>
        <w:t>2. Заказчик: Департамент жилищно-коммунального и строительного комплекса администрации</w:t>
      </w:r>
      <w:r w:rsidRPr="00EB7868">
        <w:rPr>
          <w:color w:val="000000"/>
          <w:sz w:val="22"/>
          <w:szCs w:val="22"/>
        </w:rPr>
        <w:t xml:space="preserve"> города</w:t>
      </w:r>
      <w:r>
        <w:t xml:space="preserve">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EB7868" w:rsidRDefault="00EB7868" w:rsidP="00EB7868">
      <w:pPr>
        <w:jc w:val="both"/>
      </w:pPr>
      <w:r>
        <w:t xml:space="preserve">3. Процедура рассмотрения первых частей заявок на участие в аукционе была проведена комиссией в 10.00 часов 08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EB7868" w:rsidRDefault="00EB7868" w:rsidP="00EB7868">
      <w:pPr>
        <w:jc w:val="both"/>
      </w:pPr>
      <w:r>
        <w:t>4. Количество поступивших заявок на участие  в аукционе – 2.</w:t>
      </w:r>
    </w:p>
    <w:p w:rsidR="00EB7868" w:rsidRDefault="00EB7868" w:rsidP="00EB7868">
      <w:pPr>
        <w:jc w:val="both"/>
      </w:pPr>
      <w:r>
        <w:t xml:space="preserve">5. Комиссия рассмотрела первые части заявок и приняла следующее решение: </w:t>
      </w:r>
    </w:p>
    <w:tbl>
      <w:tblPr>
        <w:tblW w:w="4986" w:type="pct"/>
        <w:tblInd w:w="157" w:type="dxa"/>
        <w:tblLook w:val="00A0" w:firstRow="1" w:lastRow="0" w:firstColumn="1" w:lastColumn="0" w:noHBand="0" w:noVBand="0"/>
      </w:tblPr>
      <w:tblGrid>
        <w:gridCol w:w="1803"/>
        <w:gridCol w:w="3043"/>
        <w:gridCol w:w="5360"/>
      </w:tblGrid>
      <w:tr w:rsidR="00EB7868" w:rsidTr="00EB7868">
        <w:tc>
          <w:tcPr>
            <w:tcW w:w="8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7868" w:rsidRDefault="00EB7868">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Порядковый номер заявки</w:t>
            </w:r>
          </w:p>
        </w:tc>
        <w:tc>
          <w:tcPr>
            <w:tcW w:w="14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7868" w:rsidRDefault="00EB7868">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Решение о допуске или об отказе в допуске</w:t>
            </w:r>
          </w:p>
        </w:tc>
        <w:tc>
          <w:tcPr>
            <w:tcW w:w="26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B7868" w:rsidRDefault="00EB7868">
            <w:pPr>
              <w:pStyle w:val="a4"/>
              <w:suppressAutoHyphens/>
              <w:spacing w:after="120"/>
              <w:ind w:left="0"/>
              <w:jc w:val="center"/>
              <w:rPr>
                <w:rFonts w:ascii="Times New Roman" w:eastAsia="Times New Roman" w:hAnsi="Times New Roman"/>
                <w:lang w:eastAsia="en-US"/>
              </w:rPr>
            </w:pPr>
            <w:r>
              <w:rPr>
                <w:rFonts w:ascii="Times New Roman" w:hAnsi="Times New Roman"/>
                <w:lang w:eastAsia="en-US"/>
              </w:rPr>
              <w:t>Причина отказа в допуске</w:t>
            </w:r>
          </w:p>
        </w:tc>
      </w:tr>
      <w:tr w:rsidR="00EB7868" w:rsidTr="00EB7868">
        <w:trPr>
          <w:trHeight w:val="530"/>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7868" w:rsidRDefault="00EB7868">
            <w:pPr>
              <w:spacing w:line="276" w:lineRule="auto"/>
              <w:jc w:val="center"/>
              <w:rPr>
                <w:spacing w:val="-6"/>
                <w:sz w:val="18"/>
                <w:szCs w:val="18"/>
                <w:lang w:eastAsia="en-US"/>
              </w:rPr>
            </w:pPr>
            <w:r>
              <w:rPr>
                <w:lang w:eastAsia="en-US"/>
              </w:rPr>
              <w:t>1</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7868" w:rsidRDefault="00EB7868">
            <w:pPr>
              <w:spacing w:line="276" w:lineRule="auto"/>
              <w:jc w:val="center"/>
            </w:pPr>
            <w:r>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7868" w:rsidRDefault="00EB7868">
            <w:pPr>
              <w:spacing w:line="276" w:lineRule="auto"/>
              <w:jc w:val="both"/>
              <w:rPr>
                <w:color w:val="C00000"/>
                <w:sz w:val="18"/>
                <w:szCs w:val="18"/>
              </w:rPr>
            </w:pPr>
          </w:p>
        </w:tc>
      </w:tr>
      <w:tr w:rsidR="00EB7868" w:rsidTr="00EB7868">
        <w:trPr>
          <w:trHeight w:val="112"/>
        </w:trPr>
        <w:tc>
          <w:tcPr>
            <w:tcW w:w="8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7868" w:rsidRDefault="00EB7868">
            <w:pPr>
              <w:spacing w:line="276" w:lineRule="auto"/>
              <w:jc w:val="center"/>
              <w:rPr>
                <w:lang w:eastAsia="en-US"/>
              </w:rPr>
            </w:pPr>
            <w:r>
              <w:rPr>
                <w:lang w:eastAsia="en-US"/>
              </w:rPr>
              <w:t>2</w:t>
            </w:r>
          </w:p>
        </w:tc>
        <w:tc>
          <w:tcPr>
            <w:tcW w:w="14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B7868" w:rsidRDefault="00EB7868">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6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7868" w:rsidRDefault="00EB7868">
            <w:pPr>
              <w:spacing w:line="276" w:lineRule="auto"/>
              <w:jc w:val="both"/>
              <w:rPr>
                <w:noProof/>
                <w:color w:val="C00000"/>
                <w:sz w:val="18"/>
                <w:szCs w:val="18"/>
              </w:rPr>
            </w:pPr>
          </w:p>
        </w:tc>
      </w:tr>
    </w:tbl>
    <w:p w:rsidR="00EB7868" w:rsidRDefault="00EB7868" w:rsidP="00EB7868">
      <w:pPr>
        <w:tabs>
          <w:tab w:val="left" w:pos="426"/>
          <w:tab w:val="left" w:pos="567"/>
        </w:tabs>
        <w:jc w:val="both"/>
      </w:pPr>
    </w:p>
    <w:p w:rsidR="00EB7868" w:rsidRPr="001745D4" w:rsidRDefault="00EB7868" w:rsidP="001745D4">
      <w:pPr>
        <w:spacing w:before="120"/>
        <w:jc w:val="both"/>
      </w:pPr>
      <w:r>
        <w:t>6</w:t>
      </w:r>
      <w:r w:rsidR="001745D4">
        <w:t xml:space="preserve">. </w:t>
      </w:r>
      <w:r>
        <w:t xml:space="preserve">Настоящий протокол подлежит размещению на сайте оператора электронной площадки </w:t>
      </w:r>
      <w:hyperlink r:id="rId7" w:history="1">
        <w:r>
          <w:rPr>
            <w:rStyle w:val="a3"/>
            <w:color w:val="auto"/>
          </w:rPr>
          <w:t>http://www.sberbank-ast.ru</w:t>
        </w:r>
      </w:hyperlink>
      <w:r>
        <w:t>.</w:t>
      </w:r>
    </w:p>
    <w:p w:rsidR="00EB7868" w:rsidRDefault="00EB7868" w:rsidP="00EB7868">
      <w:pPr>
        <w:jc w:val="center"/>
        <w:rPr>
          <w:noProof/>
        </w:rPr>
      </w:pPr>
      <w:r>
        <w:rPr>
          <w:noProof/>
        </w:rPr>
        <w:t>Сведения о решении</w:t>
      </w:r>
    </w:p>
    <w:p w:rsidR="00EB7868" w:rsidRDefault="00EB7868" w:rsidP="00EB7868">
      <w:pPr>
        <w:jc w:val="center"/>
        <w:rPr>
          <w:noProof/>
        </w:rPr>
      </w:pPr>
      <w:r>
        <w:rPr>
          <w:noProof/>
        </w:rPr>
        <w:t xml:space="preserve">членов комиссии о допуске участника закупки к участию в аукционе </w:t>
      </w:r>
    </w:p>
    <w:p w:rsidR="00EB7868" w:rsidRDefault="00EB7868" w:rsidP="00EB7868">
      <w:pPr>
        <w:jc w:val="center"/>
        <w:rPr>
          <w:noProof/>
        </w:rPr>
      </w:pPr>
      <w:r>
        <w:rPr>
          <w:noProof/>
        </w:rPr>
        <w:t>или об отказе их  в допуске к участию в аукционе</w:t>
      </w:r>
    </w:p>
    <w:p w:rsidR="00EB7868" w:rsidRDefault="00EB7868" w:rsidP="00EB7868">
      <w:pPr>
        <w:jc w:val="both"/>
        <w:rPr>
          <w:noProof/>
        </w:rPr>
      </w:pPr>
    </w:p>
    <w:tbl>
      <w:tblPr>
        <w:tblW w:w="10350" w:type="dxa"/>
        <w:tblInd w:w="250" w:type="dxa"/>
        <w:tblLayout w:type="fixed"/>
        <w:tblLook w:val="01E0" w:firstRow="1" w:lastRow="1" w:firstColumn="1" w:lastColumn="1" w:noHBand="0" w:noVBand="0"/>
      </w:tblPr>
      <w:tblGrid>
        <w:gridCol w:w="5672"/>
        <w:gridCol w:w="1843"/>
        <w:gridCol w:w="2835"/>
      </w:tblGrid>
      <w:tr w:rsidR="00EB7868" w:rsidTr="00EB7868">
        <w:tc>
          <w:tcPr>
            <w:tcW w:w="5672"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after="60" w:line="276" w:lineRule="auto"/>
              <w:jc w:val="center"/>
              <w:rPr>
                <w:noProof/>
                <w:lang w:eastAsia="en-US"/>
              </w:rPr>
            </w:pPr>
            <w:r>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after="60" w:line="276" w:lineRule="auto"/>
              <w:jc w:val="center"/>
              <w:rPr>
                <w:noProof/>
                <w:lang w:eastAsia="en-US"/>
              </w:rPr>
            </w:pPr>
            <w:r>
              <w:rPr>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after="60" w:line="276" w:lineRule="auto"/>
              <w:jc w:val="center"/>
              <w:rPr>
                <w:noProof/>
                <w:lang w:eastAsia="en-US"/>
              </w:rPr>
            </w:pPr>
            <w:r>
              <w:rPr>
                <w:noProof/>
                <w:lang w:eastAsia="en-US"/>
              </w:rPr>
              <w:t>Состав комиссии</w:t>
            </w:r>
          </w:p>
        </w:tc>
      </w:tr>
      <w:tr w:rsidR="00EB7868" w:rsidTr="00EB7868">
        <w:tc>
          <w:tcPr>
            <w:tcW w:w="5672"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after="60" w:line="276" w:lineRule="auto"/>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7868" w:rsidRDefault="00EB78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after="60" w:line="276" w:lineRule="auto"/>
              <w:jc w:val="center"/>
              <w:rPr>
                <w:noProof/>
                <w:lang w:eastAsia="en-US"/>
              </w:rPr>
            </w:pPr>
            <w:r>
              <w:rPr>
                <w:noProof/>
                <w:lang w:eastAsia="en-US"/>
              </w:rPr>
              <w:t>С.Д. Голин</w:t>
            </w:r>
          </w:p>
        </w:tc>
      </w:tr>
      <w:tr w:rsidR="00EB7868" w:rsidTr="00EB7868">
        <w:tc>
          <w:tcPr>
            <w:tcW w:w="5672"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7868" w:rsidRDefault="00EB78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center"/>
              <w:rPr>
                <w:lang w:eastAsia="en-US"/>
              </w:rPr>
            </w:pPr>
            <w:r>
              <w:rPr>
                <w:lang w:eastAsia="en-US"/>
              </w:rPr>
              <w:t xml:space="preserve">В.А. </w:t>
            </w:r>
            <w:proofErr w:type="spellStart"/>
            <w:r>
              <w:rPr>
                <w:lang w:eastAsia="en-US"/>
              </w:rPr>
              <w:t>Климин</w:t>
            </w:r>
            <w:proofErr w:type="spellEnd"/>
          </w:p>
        </w:tc>
      </w:tr>
      <w:tr w:rsidR="00EB7868" w:rsidTr="00EB7868">
        <w:tc>
          <w:tcPr>
            <w:tcW w:w="5672" w:type="dxa"/>
            <w:tcBorders>
              <w:top w:val="single" w:sz="4" w:space="0" w:color="auto"/>
              <w:left w:val="single" w:sz="4" w:space="0" w:color="auto"/>
              <w:bottom w:val="single" w:sz="4" w:space="0" w:color="auto"/>
              <w:right w:val="single" w:sz="4" w:space="0" w:color="auto"/>
            </w:tcBorders>
            <w:hideMark/>
          </w:tcPr>
          <w:p w:rsidR="00EB7868" w:rsidRDefault="00EB7868">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7868" w:rsidRDefault="00EB7868">
            <w:pPr>
              <w:spacing w:line="276" w:lineRule="auto"/>
              <w:rPr>
                <w:rFonts w:ascii="Calibri" w:eastAsia="Calibri" w:hAnsi="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center"/>
              <w:rPr>
                <w:lang w:eastAsia="en-US"/>
              </w:rPr>
            </w:pPr>
            <w:r>
              <w:rPr>
                <w:lang w:eastAsia="en-US"/>
              </w:rPr>
              <w:t>Н.А. Морозова</w:t>
            </w:r>
          </w:p>
        </w:tc>
      </w:tr>
      <w:tr w:rsidR="00EB7868" w:rsidTr="00EB7868">
        <w:tc>
          <w:tcPr>
            <w:tcW w:w="5672" w:type="dxa"/>
            <w:tcBorders>
              <w:top w:val="single" w:sz="4" w:space="0" w:color="auto"/>
              <w:left w:val="single" w:sz="4" w:space="0" w:color="auto"/>
              <w:bottom w:val="single" w:sz="4" w:space="0" w:color="auto"/>
              <w:right w:val="single" w:sz="4" w:space="0" w:color="auto"/>
            </w:tcBorders>
            <w:hideMark/>
          </w:tcPr>
          <w:p w:rsidR="00EB7868" w:rsidRDefault="00EB786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7868" w:rsidRDefault="00EB78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EB7868" w:rsidTr="00EB7868">
        <w:tc>
          <w:tcPr>
            <w:tcW w:w="5672"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7868" w:rsidRDefault="00EB78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center"/>
              <w:rPr>
                <w:lang w:eastAsia="en-US"/>
              </w:rPr>
            </w:pPr>
            <w:r>
              <w:rPr>
                <w:lang w:eastAsia="en-US"/>
              </w:rPr>
              <w:t>А.Т. Абдуллаев</w:t>
            </w:r>
          </w:p>
        </w:tc>
      </w:tr>
      <w:tr w:rsidR="00EB7868" w:rsidTr="00EB7868">
        <w:tc>
          <w:tcPr>
            <w:tcW w:w="5672" w:type="dxa"/>
            <w:tcBorders>
              <w:top w:val="single" w:sz="4" w:space="0" w:color="auto"/>
              <w:left w:val="single" w:sz="4" w:space="0" w:color="auto"/>
              <w:bottom w:val="single" w:sz="4" w:space="0" w:color="auto"/>
              <w:right w:val="single" w:sz="4" w:space="0" w:color="auto"/>
            </w:tcBorders>
            <w:hideMark/>
          </w:tcPr>
          <w:p w:rsidR="00EB7868" w:rsidRDefault="00EB786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B7868" w:rsidRDefault="00EB7868">
            <w:pPr>
              <w:spacing w:after="60" w:line="276" w:lineRule="auto"/>
              <w:jc w:val="center"/>
              <w:rPr>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EB7868" w:rsidRDefault="00EB7868">
            <w:pPr>
              <w:spacing w:line="276" w:lineRule="auto"/>
              <w:jc w:val="center"/>
              <w:rPr>
                <w:lang w:eastAsia="en-US"/>
              </w:rPr>
            </w:pPr>
            <w:r>
              <w:rPr>
                <w:lang w:eastAsia="en-US"/>
              </w:rPr>
              <w:t>Н.Б. Захарова</w:t>
            </w:r>
          </w:p>
        </w:tc>
      </w:tr>
    </w:tbl>
    <w:p w:rsidR="00EB7868" w:rsidRDefault="00EB7868" w:rsidP="00EB7868">
      <w:pPr>
        <w:rPr>
          <w:b/>
        </w:rPr>
      </w:pPr>
    </w:p>
    <w:p w:rsidR="00EB7868" w:rsidRDefault="00EB7868" w:rsidP="00EB7868">
      <w:pPr>
        <w:ind w:left="284"/>
        <w:rPr>
          <w:b/>
        </w:rPr>
      </w:pPr>
    </w:p>
    <w:p w:rsidR="00EB7868" w:rsidRDefault="00EB7868" w:rsidP="00EB7868">
      <w:pPr>
        <w:jc w:val="both"/>
        <w:rPr>
          <w:b/>
        </w:rPr>
      </w:pPr>
      <w:r>
        <w:rPr>
          <w:b/>
        </w:rPr>
        <w:t xml:space="preserve">Председатель комиссии:                                                                                С.Д. </w:t>
      </w:r>
      <w:proofErr w:type="spellStart"/>
      <w:r>
        <w:rPr>
          <w:b/>
        </w:rPr>
        <w:t>Голин</w:t>
      </w:r>
      <w:proofErr w:type="spellEnd"/>
    </w:p>
    <w:p w:rsidR="00EB7868" w:rsidRDefault="00EB7868" w:rsidP="00EB7868">
      <w:pPr>
        <w:jc w:val="both"/>
        <w:rPr>
          <w:b/>
        </w:rPr>
      </w:pPr>
    </w:p>
    <w:p w:rsidR="00EB7868" w:rsidRDefault="00EB7868" w:rsidP="00EB7868">
      <w:pPr>
        <w:rPr>
          <w:b/>
        </w:rPr>
      </w:pPr>
      <w:r>
        <w:rPr>
          <w:b/>
        </w:rPr>
        <w:t xml:space="preserve">Члены  комиссии                                                                                                                                                     </w:t>
      </w:r>
    </w:p>
    <w:p w:rsidR="00EB7868" w:rsidRDefault="00EB7868" w:rsidP="00EB7868">
      <w:pPr>
        <w:rPr>
          <w:b/>
        </w:rPr>
      </w:pPr>
    </w:p>
    <w:p w:rsidR="00EB7868" w:rsidRDefault="00EB7868" w:rsidP="00EB7868">
      <w:r>
        <w:rPr>
          <w:b/>
        </w:rPr>
        <w:t xml:space="preserve">                                                                                                                  </w:t>
      </w:r>
    </w:p>
    <w:p w:rsidR="00EB7868" w:rsidRDefault="00EB7868" w:rsidP="00EB7868">
      <w:pPr>
        <w:jc w:val="right"/>
      </w:pPr>
      <w:r>
        <w:t xml:space="preserve">                                                                ____________________Н.А. Морозова</w:t>
      </w:r>
    </w:p>
    <w:p w:rsidR="00EB7868" w:rsidRDefault="00EB7868" w:rsidP="00EB7868">
      <w:pPr>
        <w:jc w:val="right"/>
      </w:pPr>
      <w:r>
        <w:t xml:space="preserve">_______________________В.А. </w:t>
      </w:r>
      <w:proofErr w:type="spellStart"/>
      <w:r>
        <w:t>Климин</w:t>
      </w:r>
      <w:proofErr w:type="spellEnd"/>
    </w:p>
    <w:p w:rsidR="00EB7868" w:rsidRDefault="00EB7868" w:rsidP="00EB7868">
      <w:pPr>
        <w:jc w:val="center"/>
      </w:pPr>
      <w:r>
        <w:t xml:space="preserve">                                                                                                        _________________Т.И. </w:t>
      </w:r>
      <w:proofErr w:type="spellStart"/>
      <w:r>
        <w:t>Долгодворова</w:t>
      </w:r>
      <w:proofErr w:type="spellEnd"/>
    </w:p>
    <w:p w:rsidR="00EB7868" w:rsidRDefault="00EB7868" w:rsidP="00EB7868">
      <w:pPr>
        <w:jc w:val="right"/>
      </w:pPr>
      <w:r>
        <w:tab/>
      </w:r>
      <w:r>
        <w:tab/>
      </w:r>
      <w:r>
        <w:tab/>
      </w:r>
      <w:r>
        <w:tab/>
      </w:r>
      <w:r>
        <w:tab/>
      </w:r>
      <w:r>
        <w:tab/>
      </w:r>
      <w:r>
        <w:tab/>
        <w:t xml:space="preserve">  __________________ А.Т. Абдуллаев </w:t>
      </w:r>
    </w:p>
    <w:p w:rsidR="00EB7868" w:rsidRDefault="00EB7868" w:rsidP="00EB7868">
      <w:pPr>
        <w:jc w:val="right"/>
      </w:pPr>
      <w:r>
        <w:t>___________________Н.Б. Захарова</w:t>
      </w:r>
    </w:p>
    <w:p w:rsidR="00EB7868" w:rsidRDefault="00EB7868" w:rsidP="00EB7868">
      <w:pPr>
        <w:ind w:left="142"/>
      </w:pPr>
      <w:r>
        <w:t xml:space="preserve"> </w:t>
      </w:r>
    </w:p>
    <w:p w:rsidR="00EB7868" w:rsidRDefault="00EB7868" w:rsidP="00EB7868">
      <w:pPr>
        <w:ind w:left="142"/>
      </w:pPr>
      <w:r>
        <w:t>Представитель заказчика:                                                            ________________Л.С. Скороходова</w:t>
      </w:r>
    </w:p>
    <w:p w:rsidR="0088061E" w:rsidRDefault="0088061E"/>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p w:rsidR="001745D4" w:rsidRDefault="001745D4" w:rsidP="001745D4">
      <w:pPr>
        <w:ind w:right="23"/>
        <w:jc w:val="right"/>
        <w:rPr>
          <w:sz w:val="16"/>
          <w:szCs w:val="16"/>
        </w:rPr>
      </w:pPr>
      <w:r>
        <w:rPr>
          <w:sz w:val="16"/>
          <w:szCs w:val="16"/>
        </w:rPr>
        <w:lastRenderedPageBreak/>
        <w:t xml:space="preserve">                                                                                                                                                            Приложение 1</w:t>
      </w:r>
    </w:p>
    <w:p w:rsidR="001745D4" w:rsidRDefault="001745D4" w:rsidP="001745D4">
      <w:pPr>
        <w:tabs>
          <w:tab w:val="left" w:pos="3930"/>
          <w:tab w:val="right" w:pos="9355"/>
        </w:tabs>
        <w:ind w:right="23"/>
        <w:jc w:val="right"/>
        <w:rPr>
          <w:sz w:val="16"/>
          <w:szCs w:val="16"/>
        </w:rPr>
      </w:pPr>
      <w:r>
        <w:rPr>
          <w:sz w:val="16"/>
          <w:szCs w:val="16"/>
        </w:rPr>
        <w:t xml:space="preserve">                                                                                                                                               к протоколу рассмотрения заявок</w:t>
      </w:r>
    </w:p>
    <w:p w:rsidR="001745D4" w:rsidRDefault="001745D4" w:rsidP="001745D4">
      <w:pPr>
        <w:tabs>
          <w:tab w:val="left" w:pos="3930"/>
        </w:tabs>
        <w:ind w:right="23"/>
        <w:jc w:val="right"/>
        <w:rPr>
          <w:sz w:val="16"/>
          <w:szCs w:val="16"/>
        </w:rPr>
      </w:pPr>
      <w:r>
        <w:rPr>
          <w:sz w:val="16"/>
          <w:szCs w:val="16"/>
        </w:rPr>
        <w:t xml:space="preserve">                                                                                                                                                           </w:t>
      </w:r>
      <w:r>
        <w:rPr>
          <w:sz w:val="16"/>
          <w:szCs w:val="16"/>
        </w:rPr>
        <w:t xml:space="preserve">                             </w:t>
      </w:r>
      <w:r>
        <w:rPr>
          <w:sz w:val="16"/>
          <w:szCs w:val="16"/>
        </w:rPr>
        <w:t xml:space="preserve"> на у</w:t>
      </w:r>
      <w:r>
        <w:rPr>
          <w:sz w:val="16"/>
          <w:szCs w:val="16"/>
        </w:rPr>
        <w:t xml:space="preserve">частие в аукционе в электронной </w:t>
      </w:r>
      <w:r>
        <w:rPr>
          <w:sz w:val="16"/>
          <w:szCs w:val="16"/>
        </w:rPr>
        <w:t>форме</w:t>
      </w:r>
    </w:p>
    <w:p w:rsidR="001745D4" w:rsidRDefault="001745D4" w:rsidP="001745D4">
      <w:pPr>
        <w:tabs>
          <w:tab w:val="left" w:pos="3930"/>
          <w:tab w:val="right" w:pos="9355"/>
        </w:tabs>
        <w:ind w:right="23"/>
        <w:jc w:val="right"/>
        <w:rPr>
          <w:sz w:val="16"/>
          <w:szCs w:val="16"/>
        </w:rPr>
      </w:pPr>
      <w:r>
        <w:rPr>
          <w:sz w:val="16"/>
          <w:szCs w:val="16"/>
        </w:rPr>
        <w:t xml:space="preserve">         от  «8»  июня  2017 г. № 0187300005817000155-1</w:t>
      </w:r>
    </w:p>
    <w:p w:rsidR="001745D4" w:rsidRDefault="001745D4" w:rsidP="001745D4">
      <w:pPr>
        <w:ind w:left="-426"/>
        <w:jc w:val="center"/>
        <w:rPr>
          <w:color w:val="000000"/>
          <w:sz w:val="20"/>
          <w:szCs w:val="20"/>
        </w:rPr>
      </w:pPr>
      <w:r>
        <w:rPr>
          <w:color w:val="000000"/>
          <w:sz w:val="20"/>
          <w:szCs w:val="20"/>
        </w:rPr>
        <w:t>Таблица рассмотрения заявок</w:t>
      </w:r>
    </w:p>
    <w:p w:rsidR="001745D4" w:rsidRPr="001745D4" w:rsidRDefault="001745D4" w:rsidP="001745D4">
      <w:pPr>
        <w:suppressAutoHyphens w:val="0"/>
        <w:autoSpaceDE w:val="0"/>
        <w:adjustRightInd w:val="0"/>
        <w:ind w:left="-142"/>
        <w:jc w:val="center"/>
        <w:rPr>
          <w:sz w:val="22"/>
          <w:szCs w:val="22"/>
        </w:rPr>
      </w:pPr>
      <w:r>
        <w:rPr>
          <w:color w:val="000000"/>
          <w:sz w:val="20"/>
          <w:szCs w:val="20"/>
        </w:rPr>
        <w:t xml:space="preserve">на участие в аукционе в электронной форме </w:t>
      </w:r>
      <w:r>
        <w:rPr>
          <w:sz w:val="20"/>
          <w:szCs w:val="20"/>
        </w:rPr>
        <w:t xml:space="preserve">среди субъектов малого предпринимательства и социально ориентированных некоммерческих организаций </w:t>
      </w:r>
      <w:r>
        <w:rPr>
          <w:color w:val="000000"/>
          <w:sz w:val="20"/>
          <w:szCs w:val="20"/>
        </w:rPr>
        <w:t xml:space="preserve">на право заключения муниципального контракта </w:t>
      </w:r>
      <w:r>
        <w:rPr>
          <w:sz w:val="20"/>
          <w:szCs w:val="20"/>
        </w:rPr>
        <w:t xml:space="preserve">на выполнение работ по установке детского городка возле жилого дома №16 по ул. Толстого в городе </w:t>
      </w:r>
      <w:proofErr w:type="spellStart"/>
      <w:r>
        <w:rPr>
          <w:sz w:val="20"/>
          <w:szCs w:val="20"/>
        </w:rPr>
        <w:t>Югорске</w:t>
      </w:r>
      <w:proofErr w:type="spellEnd"/>
      <w:r>
        <w:rPr>
          <w:sz w:val="20"/>
          <w:szCs w:val="20"/>
        </w:rPr>
        <w:t>.</w:t>
      </w:r>
      <w:r>
        <w:rPr>
          <w:sz w:val="22"/>
          <w:szCs w:val="22"/>
        </w:rPr>
        <w:t xml:space="preserve">  </w:t>
      </w:r>
    </w:p>
    <w:p w:rsidR="001745D4" w:rsidRDefault="001745D4" w:rsidP="001745D4">
      <w:pPr>
        <w:suppressAutoHyphens w:val="0"/>
        <w:autoSpaceDE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745"/>
        <w:gridCol w:w="4750"/>
        <w:gridCol w:w="1359"/>
        <w:gridCol w:w="1432"/>
      </w:tblGrid>
      <w:tr w:rsidR="001745D4" w:rsidTr="001745D4">
        <w:trPr>
          <w:trHeight w:val="201"/>
        </w:trPr>
        <w:tc>
          <w:tcPr>
            <w:tcW w:w="1025" w:type="pct"/>
            <w:vMerge w:val="restart"/>
            <w:tcBorders>
              <w:top w:val="single" w:sz="4" w:space="0" w:color="auto"/>
              <w:left w:val="single" w:sz="4" w:space="0" w:color="auto"/>
              <w:bottom w:val="single" w:sz="4" w:space="0" w:color="auto"/>
              <w:right w:val="single" w:sz="4" w:space="0" w:color="auto"/>
            </w:tcBorders>
            <w:vAlign w:val="center"/>
            <w:hideMark/>
          </w:tcPr>
          <w:p w:rsidR="001745D4" w:rsidRDefault="001745D4">
            <w:pPr>
              <w:snapToGrid w:val="0"/>
              <w:jc w:val="center"/>
              <w:rPr>
                <w:color w:val="000000"/>
                <w:sz w:val="18"/>
                <w:szCs w:val="18"/>
              </w:rPr>
            </w:pPr>
            <w:r>
              <w:rPr>
                <w:color w:val="000000"/>
                <w:sz w:val="18"/>
                <w:szCs w:val="18"/>
              </w:rPr>
              <w:t>Обязательные требования</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1745D4" w:rsidRDefault="001745D4">
            <w:pPr>
              <w:widowControl w:val="0"/>
              <w:snapToGrid w:val="0"/>
              <w:jc w:val="center"/>
              <w:rPr>
                <w:color w:val="000000"/>
                <w:sz w:val="18"/>
                <w:szCs w:val="18"/>
              </w:rPr>
            </w:pPr>
            <w:r>
              <w:rPr>
                <w:color w:val="000000"/>
                <w:sz w:val="18"/>
                <w:szCs w:val="18"/>
              </w:rPr>
              <w:t>№ пункта</w:t>
            </w:r>
          </w:p>
        </w:tc>
        <w:tc>
          <w:tcPr>
            <w:tcW w:w="2279" w:type="pct"/>
            <w:vMerge w:val="restart"/>
            <w:tcBorders>
              <w:top w:val="single" w:sz="4" w:space="0" w:color="auto"/>
              <w:left w:val="single" w:sz="4" w:space="0" w:color="auto"/>
              <w:bottom w:val="single" w:sz="4" w:space="0" w:color="auto"/>
              <w:right w:val="single" w:sz="4" w:space="0" w:color="auto"/>
            </w:tcBorders>
            <w:vAlign w:val="center"/>
            <w:hideMark/>
          </w:tcPr>
          <w:p w:rsidR="001745D4" w:rsidRDefault="001745D4">
            <w:pPr>
              <w:widowControl w:val="0"/>
              <w:snapToGrid w:val="0"/>
              <w:jc w:val="center"/>
              <w:rPr>
                <w:color w:val="000000"/>
                <w:sz w:val="18"/>
                <w:szCs w:val="18"/>
              </w:rPr>
            </w:pPr>
            <w:r>
              <w:rPr>
                <w:color w:val="000000"/>
                <w:sz w:val="18"/>
                <w:szCs w:val="18"/>
              </w:rPr>
              <w:t>Характеристика товара</w:t>
            </w:r>
          </w:p>
        </w:tc>
        <w:tc>
          <w:tcPr>
            <w:tcW w:w="1339" w:type="pct"/>
            <w:gridSpan w:val="2"/>
            <w:tcBorders>
              <w:top w:val="single" w:sz="4" w:space="0" w:color="auto"/>
              <w:left w:val="single" w:sz="4" w:space="0" w:color="auto"/>
              <w:bottom w:val="single" w:sz="4" w:space="0" w:color="auto"/>
              <w:right w:val="single" w:sz="4" w:space="0" w:color="auto"/>
            </w:tcBorders>
            <w:hideMark/>
          </w:tcPr>
          <w:p w:rsidR="001745D4" w:rsidRDefault="001745D4">
            <w:pPr>
              <w:jc w:val="center"/>
              <w:rPr>
                <w:rFonts w:eastAsia="Calibri"/>
                <w:sz w:val="18"/>
                <w:szCs w:val="18"/>
              </w:rPr>
            </w:pPr>
            <w:r>
              <w:rPr>
                <w:rFonts w:eastAsia="Calibri"/>
                <w:sz w:val="18"/>
                <w:szCs w:val="18"/>
              </w:rPr>
              <w:t>Номер заявки</w:t>
            </w:r>
          </w:p>
        </w:tc>
      </w:tr>
      <w:tr w:rsidR="001745D4" w:rsidTr="001745D4">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rPr>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rPr>
                <w:color w:val="000000"/>
                <w:sz w:val="18"/>
                <w:szCs w:val="18"/>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jc w:val="center"/>
              <w:rPr>
                <w:rFonts w:eastAsia="Calibri"/>
                <w:sz w:val="18"/>
                <w:szCs w:val="18"/>
              </w:rPr>
            </w:pPr>
            <w:r>
              <w:rPr>
                <w:sz w:val="18"/>
                <w:szCs w:val="18"/>
              </w:rPr>
              <w:t>Заявка №1</w:t>
            </w:r>
          </w:p>
        </w:tc>
        <w:tc>
          <w:tcPr>
            <w:tcW w:w="688" w:type="pct"/>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jc w:val="center"/>
              <w:rPr>
                <w:rFonts w:eastAsia="Calibri"/>
                <w:sz w:val="18"/>
                <w:szCs w:val="18"/>
              </w:rPr>
            </w:pPr>
            <w:r>
              <w:rPr>
                <w:sz w:val="18"/>
                <w:szCs w:val="18"/>
              </w:rPr>
              <w:t>Заявка №2</w:t>
            </w:r>
          </w:p>
        </w:tc>
      </w:tr>
      <w:tr w:rsidR="001745D4" w:rsidTr="001745D4">
        <w:trPr>
          <w:trHeight w:val="302"/>
        </w:trPr>
        <w:tc>
          <w:tcPr>
            <w:tcW w:w="1025" w:type="pct"/>
            <w:vMerge w:val="restart"/>
            <w:tcBorders>
              <w:top w:val="single" w:sz="4" w:space="0" w:color="auto"/>
              <w:left w:val="single" w:sz="4" w:space="0" w:color="auto"/>
              <w:bottom w:val="single" w:sz="4" w:space="0" w:color="auto"/>
              <w:right w:val="single" w:sz="4" w:space="0" w:color="auto"/>
            </w:tcBorders>
          </w:tcPr>
          <w:p w:rsidR="001745D4" w:rsidRDefault="001745D4">
            <w:pPr>
              <w:snapToGrid w:val="0"/>
              <w:rPr>
                <w:sz w:val="18"/>
                <w:szCs w:val="18"/>
              </w:rPr>
            </w:pPr>
            <w:r>
              <w:rPr>
                <w:sz w:val="18"/>
                <w:szCs w:val="18"/>
              </w:rPr>
              <w:t>Первая часть заявки на участие в электронном аукционе должна содержать следующие сведения:</w:t>
            </w:r>
          </w:p>
          <w:p w:rsidR="001745D4" w:rsidRDefault="001745D4">
            <w:pPr>
              <w:snapToGrid w:val="0"/>
              <w:rPr>
                <w:sz w:val="18"/>
                <w:szCs w:val="18"/>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p w:rsidR="001745D4" w:rsidRDefault="001745D4">
            <w:pPr>
              <w:snapToGrid w:val="0"/>
              <w:jc w:val="both"/>
              <w:rPr>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rsidR="001745D4" w:rsidRDefault="001745D4">
            <w:pPr>
              <w:jc w:val="center"/>
              <w:rPr>
                <w:sz w:val="18"/>
                <w:szCs w:val="18"/>
              </w:rPr>
            </w:pPr>
            <w:r>
              <w:rPr>
                <w:sz w:val="18"/>
                <w:szCs w:val="18"/>
              </w:rPr>
              <w:t>1</w:t>
            </w:r>
          </w:p>
        </w:tc>
        <w:tc>
          <w:tcPr>
            <w:tcW w:w="2279" w:type="pct"/>
            <w:tcBorders>
              <w:top w:val="single" w:sz="4" w:space="0" w:color="auto"/>
              <w:left w:val="single" w:sz="4" w:space="0" w:color="auto"/>
              <w:bottom w:val="single" w:sz="4" w:space="0" w:color="auto"/>
              <w:right w:val="single" w:sz="4" w:space="0" w:color="auto"/>
            </w:tcBorders>
            <w:hideMark/>
          </w:tcPr>
          <w:p w:rsidR="001745D4" w:rsidRDefault="001745D4">
            <w:pPr>
              <w:pStyle w:val="a5"/>
              <w:jc w:val="both"/>
              <w:rPr>
                <w:kern w:val="2"/>
                <w:sz w:val="16"/>
                <w:szCs w:val="16"/>
                <w:lang w:eastAsia="ar-SA"/>
              </w:rPr>
            </w:pPr>
            <w:r>
              <w:rPr>
                <w:sz w:val="16"/>
                <w:szCs w:val="16"/>
              </w:rPr>
              <w:t>Бетон тяжелый класс В</w:t>
            </w:r>
            <w:proofErr w:type="gramStart"/>
            <w:r>
              <w:rPr>
                <w:sz w:val="16"/>
                <w:szCs w:val="16"/>
              </w:rPr>
              <w:t>7</w:t>
            </w:r>
            <w:proofErr w:type="gramEnd"/>
            <w:r>
              <w:rPr>
                <w:sz w:val="16"/>
                <w:szCs w:val="16"/>
              </w:rPr>
              <w:t>,5</w:t>
            </w:r>
          </w:p>
          <w:p w:rsidR="001745D4" w:rsidRDefault="001745D4">
            <w:pPr>
              <w:rPr>
                <w:sz w:val="16"/>
                <w:szCs w:val="16"/>
                <w:lang w:eastAsia="ru-RU"/>
              </w:rPr>
            </w:pPr>
            <w:r>
              <w:rPr>
                <w:sz w:val="16"/>
                <w:szCs w:val="16"/>
                <w:lang w:eastAsia="ru-RU"/>
              </w:rPr>
              <w:t>Бетон тяжелый, с характеристиками: Класс прочности на сжатие не ниже В</w:t>
            </w:r>
            <w:proofErr w:type="gramStart"/>
            <w:r>
              <w:rPr>
                <w:sz w:val="16"/>
                <w:szCs w:val="16"/>
                <w:lang w:eastAsia="ru-RU"/>
              </w:rPr>
              <w:t>7</w:t>
            </w:r>
            <w:proofErr w:type="gramEnd"/>
            <w:r>
              <w:rPr>
                <w:sz w:val="16"/>
                <w:szCs w:val="16"/>
                <w:lang w:eastAsia="ru-RU"/>
              </w:rPr>
              <w:t xml:space="preserve">,5, Средняя плотность крупных заполнителей не менее 2000 кг/м3 и не более 3000 кг/м3. </w:t>
            </w:r>
          </w:p>
          <w:p w:rsidR="001745D4" w:rsidRDefault="001745D4">
            <w:pPr>
              <w:pStyle w:val="a5"/>
              <w:jc w:val="both"/>
              <w:rPr>
                <w:sz w:val="16"/>
                <w:szCs w:val="16"/>
                <w:lang w:eastAsia="ar-SA"/>
              </w:rPr>
            </w:pPr>
            <w:r>
              <w:rPr>
                <w:sz w:val="16"/>
                <w:szCs w:val="16"/>
              </w:rPr>
              <w:t>В соответствии с ГОСТ 26633-2015</w:t>
            </w:r>
          </w:p>
        </w:tc>
        <w:tc>
          <w:tcPr>
            <w:tcW w:w="652" w:type="pct"/>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jc w:val="center"/>
              <w:rPr>
                <w:kern w:val="0"/>
                <w:sz w:val="16"/>
                <w:szCs w:val="16"/>
                <w:lang w:eastAsia="ru-RU"/>
              </w:rPr>
            </w:pPr>
            <w:r>
              <w:rPr>
                <w:kern w:val="0"/>
                <w:sz w:val="16"/>
                <w:szCs w:val="16"/>
                <w:lang w:eastAsia="ru-RU"/>
              </w:rPr>
              <w:t>соответствует</w:t>
            </w:r>
          </w:p>
        </w:tc>
        <w:tc>
          <w:tcPr>
            <w:tcW w:w="688" w:type="pct"/>
            <w:tcBorders>
              <w:top w:val="single" w:sz="4" w:space="0" w:color="auto"/>
              <w:left w:val="single" w:sz="4" w:space="0" w:color="auto"/>
              <w:bottom w:val="single" w:sz="4" w:space="0" w:color="auto"/>
              <w:right w:val="single" w:sz="4" w:space="0" w:color="auto"/>
            </w:tcBorders>
            <w:vAlign w:val="center"/>
            <w:hideMark/>
          </w:tcPr>
          <w:p w:rsidR="001745D4" w:rsidRDefault="001745D4">
            <w:pPr>
              <w:jc w:val="center"/>
              <w:rPr>
                <w:rFonts w:eastAsia="Calibri"/>
                <w:bCs/>
                <w:sz w:val="16"/>
                <w:szCs w:val="16"/>
              </w:rPr>
            </w:pPr>
            <w:r>
              <w:rPr>
                <w:kern w:val="0"/>
                <w:sz w:val="16"/>
                <w:szCs w:val="16"/>
                <w:lang w:eastAsia="ru-RU"/>
              </w:rPr>
              <w:t>соответствует</w:t>
            </w:r>
          </w:p>
        </w:tc>
      </w:tr>
      <w:tr w:rsidR="001745D4" w:rsidTr="001745D4">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rPr>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rsidR="001745D4" w:rsidRDefault="001745D4">
            <w:pPr>
              <w:jc w:val="center"/>
              <w:rPr>
                <w:sz w:val="18"/>
                <w:szCs w:val="18"/>
              </w:rPr>
            </w:pPr>
            <w:r>
              <w:rPr>
                <w:sz w:val="18"/>
                <w:szCs w:val="18"/>
              </w:rPr>
              <w:t>2</w:t>
            </w:r>
          </w:p>
        </w:tc>
        <w:tc>
          <w:tcPr>
            <w:tcW w:w="2279" w:type="pct"/>
            <w:tcBorders>
              <w:top w:val="single" w:sz="4" w:space="0" w:color="auto"/>
              <w:left w:val="single" w:sz="4" w:space="0" w:color="auto"/>
              <w:bottom w:val="single" w:sz="4" w:space="0" w:color="auto"/>
              <w:right w:val="single" w:sz="4" w:space="0" w:color="auto"/>
            </w:tcBorders>
            <w:hideMark/>
          </w:tcPr>
          <w:p w:rsidR="001745D4" w:rsidRDefault="001745D4">
            <w:pPr>
              <w:rPr>
                <w:color w:val="000000"/>
                <w:sz w:val="16"/>
                <w:szCs w:val="16"/>
              </w:rPr>
            </w:pPr>
            <w:r>
              <w:rPr>
                <w:color w:val="000000"/>
                <w:sz w:val="16"/>
                <w:szCs w:val="16"/>
              </w:rPr>
              <w:t xml:space="preserve">Игровой комплекс с характеристиками: </w:t>
            </w:r>
          </w:p>
          <w:p w:rsidR="001745D4" w:rsidRDefault="001745D4">
            <w:pPr>
              <w:shd w:val="clear" w:color="auto" w:fill="FFFFFF"/>
              <w:rPr>
                <w:color w:val="000000"/>
                <w:sz w:val="16"/>
                <w:szCs w:val="16"/>
              </w:rPr>
            </w:pPr>
            <w:r>
              <w:rPr>
                <w:color w:val="000000"/>
                <w:sz w:val="16"/>
                <w:szCs w:val="16"/>
              </w:rPr>
              <w:t>Длина – 7 830 мм (неизменяемое значение);</w:t>
            </w:r>
          </w:p>
          <w:p w:rsidR="001745D4" w:rsidRDefault="001745D4">
            <w:pPr>
              <w:shd w:val="clear" w:color="auto" w:fill="FFFFFF"/>
              <w:rPr>
                <w:color w:val="000000"/>
                <w:sz w:val="16"/>
                <w:szCs w:val="16"/>
              </w:rPr>
            </w:pPr>
            <w:r>
              <w:rPr>
                <w:color w:val="000000"/>
                <w:sz w:val="16"/>
                <w:szCs w:val="16"/>
              </w:rPr>
              <w:t>Ширина – 7 210мм (неизменяемое значение);</w:t>
            </w:r>
          </w:p>
          <w:p w:rsidR="001745D4" w:rsidRDefault="001745D4">
            <w:pPr>
              <w:shd w:val="clear" w:color="auto" w:fill="FFFFFF"/>
              <w:rPr>
                <w:color w:val="000000"/>
                <w:sz w:val="16"/>
                <w:szCs w:val="16"/>
              </w:rPr>
            </w:pPr>
            <w:r>
              <w:rPr>
                <w:color w:val="000000"/>
                <w:sz w:val="16"/>
                <w:szCs w:val="16"/>
              </w:rPr>
              <w:t xml:space="preserve">Высота – 3 675 мм (неизменяемое значение); </w:t>
            </w:r>
          </w:p>
          <w:p w:rsidR="001745D4" w:rsidRDefault="001745D4">
            <w:pPr>
              <w:shd w:val="clear" w:color="auto" w:fill="FFFFFF"/>
              <w:rPr>
                <w:color w:val="000000"/>
                <w:sz w:val="16"/>
                <w:szCs w:val="16"/>
              </w:rPr>
            </w:pPr>
            <w:r>
              <w:rPr>
                <w:color w:val="000000"/>
                <w:sz w:val="16"/>
                <w:szCs w:val="16"/>
              </w:rPr>
              <w:t>Высота горки – 1 260 мм (неизменяемое значение);</w:t>
            </w:r>
          </w:p>
          <w:p w:rsidR="001745D4" w:rsidRDefault="001745D4">
            <w:pPr>
              <w:rPr>
                <w:sz w:val="16"/>
                <w:szCs w:val="16"/>
                <w:lang w:eastAsia="ru-RU"/>
              </w:rPr>
            </w:pPr>
            <w:r>
              <w:rPr>
                <w:sz w:val="16"/>
                <w:szCs w:val="16"/>
                <w:lang w:eastAsia="ru-RU"/>
              </w:rPr>
              <w:t xml:space="preserve">Материалы: несущие столбы конструкции выполнены из клееного бруса размером не менее 80х80 мм и не более 90х90 мм (древесина хвойных пород влажностью 7-10%), цвет серый, снизу оканчиваются металлическими подпятниками (стаканами), которые укреплены в земле. Скат горки изготовлен из единого листа нержавеющей стали толщиной не менее 1 мм. Пол площадок и ступени лестниц выполнены из нескользящей ламинированной фанеры толщиной не менее 12 мм. Накладные элементы изготовлены из влагостойкой окрашенной фанеры, толщиной не менее 15 мм. Металлические элементы выполнены из </w:t>
            </w:r>
            <w:proofErr w:type="spellStart"/>
            <w:r>
              <w:rPr>
                <w:sz w:val="16"/>
                <w:szCs w:val="16"/>
                <w:lang w:eastAsia="ru-RU"/>
              </w:rPr>
              <w:t>водогазопроводных</w:t>
            </w:r>
            <w:proofErr w:type="spellEnd"/>
            <w:r>
              <w:rPr>
                <w:sz w:val="16"/>
                <w:szCs w:val="16"/>
                <w:lang w:eastAsia="ru-RU"/>
              </w:rPr>
              <w:t xml:space="preserve"> труб (диаметр не менее 21,3 мм, стенка трубы не менее 2,8 мм), загрунтованной и окрашенной порошковой глянцевой краской. </w:t>
            </w:r>
            <w:proofErr w:type="gramStart"/>
            <w:r>
              <w:rPr>
                <w:sz w:val="16"/>
                <w:szCs w:val="16"/>
                <w:lang w:eastAsia="ru-RU"/>
              </w:rPr>
              <w:t>При изготовлении конструктивных элементов использованы: цепь стальная грузовая короткозвенная (сечение звена 6 мм); кольца полиуретановые (диаметр наружный 164 мм, диаметр внутренний 120 мм); трубка силиконовая (диаметр внутренний 20 мм, стенка 2 мм); канат полиамидный (диаметр 32 мм); оцинкованный крепеж; прорезиненного металла (сидение качелей); пластиковые заглушки на места резьбовых соединений.</w:t>
            </w:r>
            <w:proofErr w:type="gramEnd"/>
            <w:r>
              <w:rPr>
                <w:sz w:val="16"/>
                <w:szCs w:val="16"/>
                <w:lang w:eastAsia="ru-RU"/>
              </w:rPr>
              <w:t xml:space="preserve"> На элементы нанесено защитное покрытие от атмосферных воздействий. </w:t>
            </w:r>
          </w:p>
          <w:p w:rsidR="001745D4" w:rsidRDefault="001745D4">
            <w:pPr>
              <w:jc w:val="both"/>
              <w:rPr>
                <w:sz w:val="16"/>
                <w:szCs w:val="16"/>
                <w:lang w:eastAsia="ru-RU"/>
              </w:rPr>
            </w:pPr>
            <w:r>
              <w:rPr>
                <w:color w:val="000000"/>
                <w:sz w:val="16"/>
                <w:szCs w:val="16"/>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tc>
        <w:tc>
          <w:tcPr>
            <w:tcW w:w="652" w:type="pct"/>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jc w:val="center"/>
              <w:rPr>
                <w:kern w:val="0"/>
                <w:sz w:val="16"/>
                <w:szCs w:val="16"/>
                <w:lang w:eastAsia="ru-RU"/>
              </w:rPr>
            </w:pPr>
            <w:proofErr w:type="gramStart"/>
            <w:r>
              <w:rPr>
                <w:kern w:val="0"/>
                <w:sz w:val="16"/>
                <w:szCs w:val="16"/>
                <w:lang w:eastAsia="ru-RU"/>
              </w:rPr>
              <w:t>с</w:t>
            </w:r>
            <w:proofErr w:type="gramEnd"/>
            <w:r>
              <w:rPr>
                <w:kern w:val="0"/>
                <w:sz w:val="16"/>
                <w:szCs w:val="16"/>
                <w:lang w:eastAsia="ru-RU"/>
              </w:rPr>
              <w:t>оответствует</w:t>
            </w:r>
          </w:p>
        </w:tc>
        <w:tc>
          <w:tcPr>
            <w:tcW w:w="688" w:type="pct"/>
            <w:tcBorders>
              <w:top w:val="single" w:sz="4" w:space="0" w:color="auto"/>
              <w:left w:val="single" w:sz="4" w:space="0" w:color="auto"/>
              <w:bottom w:val="single" w:sz="4" w:space="0" w:color="auto"/>
              <w:right w:val="single" w:sz="4" w:space="0" w:color="auto"/>
            </w:tcBorders>
            <w:vAlign w:val="center"/>
            <w:hideMark/>
          </w:tcPr>
          <w:p w:rsidR="001745D4" w:rsidRDefault="001745D4">
            <w:pPr>
              <w:jc w:val="center"/>
              <w:rPr>
                <w:rFonts w:eastAsia="Calibri"/>
                <w:bCs/>
                <w:sz w:val="16"/>
                <w:szCs w:val="16"/>
              </w:rPr>
            </w:pPr>
            <w:r>
              <w:rPr>
                <w:kern w:val="0"/>
                <w:sz w:val="16"/>
                <w:szCs w:val="16"/>
                <w:lang w:eastAsia="ru-RU"/>
              </w:rPr>
              <w:t>соответствует</w:t>
            </w:r>
          </w:p>
        </w:tc>
      </w:tr>
      <w:tr w:rsidR="001745D4" w:rsidTr="001745D4">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rPr>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rsidR="001745D4" w:rsidRDefault="001745D4">
            <w:pPr>
              <w:jc w:val="center"/>
              <w:rPr>
                <w:sz w:val="18"/>
                <w:szCs w:val="18"/>
              </w:rPr>
            </w:pPr>
            <w:r>
              <w:rPr>
                <w:sz w:val="18"/>
                <w:szCs w:val="18"/>
              </w:rPr>
              <w:t>3</w:t>
            </w:r>
          </w:p>
        </w:tc>
        <w:tc>
          <w:tcPr>
            <w:tcW w:w="2279" w:type="pct"/>
            <w:tcBorders>
              <w:top w:val="single" w:sz="4" w:space="0" w:color="auto"/>
              <w:left w:val="single" w:sz="4" w:space="0" w:color="auto"/>
              <w:bottom w:val="single" w:sz="4" w:space="0" w:color="auto"/>
              <w:right w:val="single" w:sz="4" w:space="0" w:color="auto"/>
            </w:tcBorders>
            <w:hideMark/>
          </w:tcPr>
          <w:p w:rsidR="001745D4" w:rsidRDefault="001745D4">
            <w:pPr>
              <w:pStyle w:val="ConsPlusNormal"/>
              <w:tabs>
                <w:tab w:val="left" w:pos="-40"/>
              </w:tabs>
              <w:ind w:firstLine="0"/>
              <w:jc w:val="both"/>
              <w:rPr>
                <w:rFonts w:ascii="Times New Roman" w:hAnsi="Times New Roman"/>
                <w:bCs/>
                <w:kern w:val="2"/>
                <w:sz w:val="16"/>
                <w:szCs w:val="16"/>
                <w:lang w:eastAsia="ar-SA"/>
              </w:rPr>
            </w:pPr>
            <w:r>
              <w:rPr>
                <w:rFonts w:ascii="Times New Roman" w:hAnsi="Times New Roman"/>
                <w:bCs/>
                <w:sz w:val="16"/>
                <w:szCs w:val="16"/>
              </w:rPr>
              <w:t xml:space="preserve">Скамья (со спинкой) с характеристиками: </w:t>
            </w:r>
          </w:p>
          <w:p w:rsidR="001745D4" w:rsidRDefault="001745D4">
            <w:pPr>
              <w:pStyle w:val="ConsPlusNormal"/>
              <w:tabs>
                <w:tab w:val="left" w:pos="-40"/>
              </w:tabs>
              <w:ind w:firstLine="0"/>
              <w:jc w:val="both"/>
              <w:rPr>
                <w:rFonts w:ascii="Times New Roman" w:hAnsi="Times New Roman"/>
                <w:bCs/>
                <w:sz w:val="16"/>
                <w:szCs w:val="16"/>
              </w:rPr>
            </w:pPr>
            <w:r>
              <w:rPr>
                <w:rFonts w:ascii="Times New Roman" w:hAnsi="Times New Roman"/>
                <w:bCs/>
                <w:sz w:val="16"/>
                <w:szCs w:val="16"/>
              </w:rPr>
              <w:t>размеры: Д*</w:t>
            </w:r>
            <w:proofErr w:type="gramStart"/>
            <w:r>
              <w:rPr>
                <w:rFonts w:ascii="Times New Roman" w:hAnsi="Times New Roman"/>
                <w:bCs/>
                <w:sz w:val="16"/>
                <w:szCs w:val="16"/>
              </w:rPr>
              <w:t>Ш</w:t>
            </w:r>
            <w:proofErr w:type="gramEnd"/>
            <w:r>
              <w:rPr>
                <w:rFonts w:ascii="Times New Roman" w:hAnsi="Times New Roman"/>
                <w:bCs/>
                <w:sz w:val="16"/>
                <w:szCs w:val="16"/>
              </w:rPr>
              <w:t xml:space="preserve">*В не менее 2000*500*900 мм и не более 2200*550*950 мм. </w:t>
            </w:r>
          </w:p>
          <w:p w:rsidR="001745D4" w:rsidRDefault="001745D4">
            <w:pPr>
              <w:pStyle w:val="ConsPlusNormal"/>
              <w:tabs>
                <w:tab w:val="left" w:pos="-40"/>
              </w:tabs>
              <w:ind w:firstLine="0"/>
              <w:jc w:val="both"/>
              <w:rPr>
                <w:rFonts w:ascii="Times New Roman" w:hAnsi="Times New Roman"/>
                <w:bCs/>
                <w:sz w:val="16"/>
                <w:szCs w:val="16"/>
              </w:rPr>
            </w:pPr>
            <w:r>
              <w:rPr>
                <w:rFonts w:ascii="Times New Roman" w:hAnsi="Times New Roman"/>
                <w:bCs/>
                <w:sz w:val="16"/>
                <w:szCs w:val="16"/>
              </w:rPr>
              <w:t>Материал: ножки из металлической трубы диаметром не менее 25 мм и не более 32 мм. Спинка деревянный брусок размером не менее 2000*40*60 мм и не более 2040*50*65 мм и металлическая полоса шириной не менее 40 мм и не более 50 мм, толщиной не менее 4 мм и не более 5 мм.</w:t>
            </w:r>
          </w:p>
          <w:p w:rsidR="001745D4" w:rsidRDefault="001745D4">
            <w:pPr>
              <w:pStyle w:val="ConsPlusNormal"/>
              <w:tabs>
                <w:tab w:val="left" w:pos="-40"/>
              </w:tabs>
              <w:ind w:firstLine="0"/>
              <w:jc w:val="both"/>
              <w:rPr>
                <w:rFonts w:ascii="Times New Roman" w:hAnsi="Times New Roman"/>
                <w:bCs/>
                <w:sz w:val="16"/>
                <w:szCs w:val="16"/>
              </w:rPr>
            </w:pPr>
            <w:r>
              <w:rPr>
                <w:rFonts w:ascii="Times New Roman" w:hAnsi="Times New Roman"/>
                <w:bCs/>
                <w:sz w:val="16"/>
                <w:szCs w:val="16"/>
              </w:rPr>
              <w:t>Товар должен соответствовать эскизу.</w:t>
            </w:r>
          </w:p>
          <w:p w:rsidR="001745D4" w:rsidRDefault="001745D4">
            <w:pPr>
              <w:jc w:val="both"/>
              <w:rPr>
                <w:sz w:val="16"/>
                <w:szCs w:val="16"/>
                <w:lang w:eastAsia="ru-RU"/>
              </w:rPr>
            </w:pPr>
            <w:r>
              <w:rPr>
                <w:rFonts w:eastAsia="Arial"/>
                <w:sz w:val="16"/>
                <w:szCs w:val="16"/>
              </w:rPr>
              <w:t>В соответствии с ГОСТ EN 581-1-2012, ГОСТ EN 581-2-2012, ГОСТ 8486-86  и  ГОСТ 8732-78</w:t>
            </w:r>
          </w:p>
        </w:tc>
        <w:tc>
          <w:tcPr>
            <w:tcW w:w="652" w:type="pct"/>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jc w:val="center"/>
              <w:rPr>
                <w:kern w:val="0"/>
                <w:sz w:val="16"/>
                <w:szCs w:val="16"/>
                <w:lang w:eastAsia="ru-RU"/>
              </w:rPr>
            </w:pPr>
            <w:r>
              <w:rPr>
                <w:kern w:val="0"/>
                <w:sz w:val="16"/>
                <w:szCs w:val="16"/>
                <w:lang w:eastAsia="ru-RU"/>
              </w:rPr>
              <w:t>соответствует</w:t>
            </w:r>
          </w:p>
        </w:tc>
        <w:tc>
          <w:tcPr>
            <w:tcW w:w="688" w:type="pct"/>
            <w:tcBorders>
              <w:top w:val="single" w:sz="4" w:space="0" w:color="auto"/>
              <w:left w:val="single" w:sz="4" w:space="0" w:color="auto"/>
              <w:bottom w:val="single" w:sz="4" w:space="0" w:color="auto"/>
              <w:right w:val="single" w:sz="4" w:space="0" w:color="auto"/>
            </w:tcBorders>
            <w:vAlign w:val="center"/>
            <w:hideMark/>
          </w:tcPr>
          <w:p w:rsidR="001745D4" w:rsidRDefault="001745D4">
            <w:pPr>
              <w:jc w:val="center"/>
              <w:rPr>
                <w:rFonts w:eastAsia="Calibri"/>
                <w:bCs/>
                <w:sz w:val="16"/>
                <w:szCs w:val="16"/>
              </w:rPr>
            </w:pPr>
            <w:r>
              <w:rPr>
                <w:kern w:val="0"/>
                <w:sz w:val="16"/>
                <w:szCs w:val="16"/>
                <w:lang w:eastAsia="ru-RU"/>
              </w:rPr>
              <w:t>соответствует</w:t>
            </w:r>
          </w:p>
        </w:tc>
      </w:tr>
      <w:tr w:rsidR="001745D4" w:rsidTr="001745D4">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rPr>
                <w:sz w:val="18"/>
                <w:szCs w:val="18"/>
              </w:rPr>
            </w:pPr>
          </w:p>
        </w:tc>
        <w:tc>
          <w:tcPr>
            <w:tcW w:w="357" w:type="pct"/>
            <w:tcBorders>
              <w:top w:val="single" w:sz="4" w:space="0" w:color="auto"/>
              <w:left w:val="single" w:sz="4" w:space="0" w:color="auto"/>
              <w:bottom w:val="single" w:sz="4" w:space="0" w:color="auto"/>
              <w:right w:val="single" w:sz="4" w:space="0" w:color="auto"/>
            </w:tcBorders>
            <w:hideMark/>
          </w:tcPr>
          <w:p w:rsidR="001745D4" w:rsidRDefault="001745D4">
            <w:pPr>
              <w:jc w:val="center"/>
              <w:rPr>
                <w:sz w:val="18"/>
                <w:szCs w:val="18"/>
              </w:rPr>
            </w:pPr>
            <w:r>
              <w:rPr>
                <w:sz w:val="18"/>
                <w:szCs w:val="18"/>
              </w:rPr>
              <w:t>4</w:t>
            </w:r>
          </w:p>
        </w:tc>
        <w:tc>
          <w:tcPr>
            <w:tcW w:w="2279" w:type="pct"/>
            <w:tcBorders>
              <w:top w:val="single" w:sz="4" w:space="0" w:color="auto"/>
              <w:left w:val="single" w:sz="4" w:space="0" w:color="auto"/>
              <w:bottom w:val="single" w:sz="4" w:space="0" w:color="auto"/>
              <w:right w:val="single" w:sz="4" w:space="0" w:color="auto"/>
            </w:tcBorders>
            <w:hideMark/>
          </w:tcPr>
          <w:p w:rsidR="001745D4" w:rsidRDefault="001745D4">
            <w:pPr>
              <w:shd w:val="clear" w:color="auto" w:fill="FFFFFF"/>
              <w:rPr>
                <w:sz w:val="16"/>
                <w:szCs w:val="16"/>
              </w:rPr>
            </w:pPr>
            <w:r>
              <w:rPr>
                <w:sz w:val="16"/>
                <w:szCs w:val="16"/>
              </w:rPr>
              <w:t xml:space="preserve">Семена газонной травы с характеристиками: универсальная травосмесь. Всхожесть семян  не менее 75 % (неизменяемое  значение показателя). Состав газонной смеси (100%)  входят следующие виды трав: </w:t>
            </w:r>
          </w:p>
          <w:p w:rsidR="001745D4" w:rsidRDefault="001745D4">
            <w:pPr>
              <w:rPr>
                <w:sz w:val="16"/>
                <w:szCs w:val="16"/>
              </w:rPr>
            </w:pPr>
            <w:proofErr w:type="gramStart"/>
            <w:r>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6"/>
                <w:szCs w:val="16"/>
              </w:rPr>
              <w:t>% и не более 30%. Влажность не менее 15%.</w:t>
            </w:r>
          </w:p>
          <w:p w:rsidR="001745D4" w:rsidRDefault="001745D4">
            <w:pPr>
              <w:pStyle w:val="a5"/>
              <w:jc w:val="both"/>
              <w:rPr>
                <w:rFonts w:eastAsia="Calibri"/>
                <w:sz w:val="16"/>
                <w:szCs w:val="16"/>
                <w:lang w:eastAsia="en-US"/>
              </w:rPr>
            </w:pPr>
            <w:r>
              <w:rPr>
                <w:sz w:val="16"/>
                <w:szCs w:val="16"/>
              </w:rPr>
              <w:t>В соответствии с ГОСТ </w:t>
            </w:r>
            <w:proofErr w:type="gramStart"/>
            <w:r>
              <w:rPr>
                <w:sz w:val="16"/>
                <w:szCs w:val="16"/>
              </w:rPr>
              <w:t>Р</w:t>
            </w:r>
            <w:proofErr w:type="gramEnd"/>
            <w:r>
              <w:rPr>
                <w:sz w:val="16"/>
                <w:szCs w:val="16"/>
              </w:rPr>
              <w:t> 52325-2005</w:t>
            </w:r>
          </w:p>
        </w:tc>
        <w:tc>
          <w:tcPr>
            <w:tcW w:w="652" w:type="pct"/>
            <w:tcBorders>
              <w:top w:val="single" w:sz="4" w:space="0" w:color="auto"/>
              <w:left w:val="single" w:sz="4" w:space="0" w:color="auto"/>
              <w:bottom w:val="single" w:sz="4" w:space="0" w:color="auto"/>
              <w:right w:val="single" w:sz="4" w:space="0" w:color="auto"/>
            </w:tcBorders>
            <w:vAlign w:val="center"/>
            <w:hideMark/>
          </w:tcPr>
          <w:p w:rsidR="001745D4" w:rsidRDefault="001745D4">
            <w:pPr>
              <w:suppressAutoHyphens w:val="0"/>
              <w:jc w:val="center"/>
              <w:rPr>
                <w:kern w:val="0"/>
                <w:sz w:val="16"/>
                <w:szCs w:val="16"/>
                <w:lang w:eastAsia="ru-RU"/>
              </w:rPr>
            </w:pPr>
            <w:r>
              <w:rPr>
                <w:kern w:val="0"/>
                <w:sz w:val="16"/>
                <w:szCs w:val="16"/>
                <w:lang w:eastAsia="ru-RU"/>
              </w:rPr>
              <w:t>соответствует</w:t>
            </w:r>
          </w:p>
        </w:tc>
        <w:tc>
          <w:tcPr>
            <w:tcW w:w="688" w:type="pct"/>
            <w:tcBorders>
              <w:top w:val="single" w:sz="4" w:space="0" w:color="auto"/>
              <w:left w:val="single" w:sz="4" w:space="0" w:color="auto"/>
              <w:bottom w:val="single" w:sz="4" w:space="0" w:color="auto"/>
              <w:right w:val="single" w:sz="4" w:space="0" w:color="auto"/>
            </w:tcBorders>
            <w:vAlign w:val="center"/>
            <w:hideMark/>
          </w:tcPr>
          <w:p w:rsidR="001745D4" w:rsidRDefault="001745D4">
            <w:pPr>
              <w:jc w:val="center"/>
              <w:rPr>
                <w:rFonts w:eastAsia="Calibri"/>
                <w:bCs/>
                <w:sz w:val="16"/>
                <w:szCs w:val="16"/>
              </w:rPr>
            </w:pPr>
            <w:r>
              <w:rPr>
                <w:kern w:val="0"/>
                <w:sz w:val="16"/>
                <w:szCs w:val="16"/>
                <w:lang w:eastAsia="ru-RU"/>
              </w:rPr>
              <w:t>соответствует</w:t>
            </w:r>
          </w:p>
        </w:tc>
      </w:tr>
    </w:tbl>
    <w:p w:rsidR="001745D4" w:rsidRDefault="001745D4">
      <w:bookmarkStart w:id="0" w:name="_GoBack"/>
      <w:bookmarkEnd w:id="0"/>
    </w:p>
    <w:sectPr w:rsidR="001745D4" w:rsidSect="001745D4">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3E"/>
    <w:rsid w:val="001745D4"/>
    <w:rsid w:val="00823F29"/>
    <w:rsid w:val="0088061E"/>
    <w:rsid w:val="00BB75D2"/>
    <w:rsid w:val="00E7153E"/>
    <w:rsid w:val="00EB786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68"/>
    <w:pPr>
      <w:suppressAutoHyphens/>
      <w:autoSpaceDN w:val="0"/>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B7868"/>
    <w:rPr>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EB7868"/>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EB7868"/>
    <w:pPr>
      <w:autoSpaceDN w:val="0"/>
      <w:ind w:left="720"/>
      <w:contextualSpacing/>
    </w:pPr>
    <w:rPr>
      <w:kern w:val="2"/>
      <w:sz w:val="24"/>
      <w:szCs w:val="24"/>
      <w:lang w:val="x-none" w:eastAsia="ar-SA"/>
    </w:rPr>
  </w:style>
  <w:style w:type="paragraph" w:customStyle="1" w:styleId="ConsPlusNormal">
    <w:name w:val="ConsPlusNormal"/>
    <w:link w:val="ConsPlusNormal0"/>
    <w:rsid w:val="00EB78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1745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745D4"/>
    <w:rPr>
      <w:rFonts w:ascii="Arial" w:eastAsia="Times New Roman" w:hAnsi="Arial" w:cs="Arial"/>
      <w:sz w:val="20"/>
      <w:szCs w:val="20"/>
      <w:lang w:eastAsia="ru-RU"/>
    </w:rPr>
  </w:style>
  <w:style w:type="table" w:styleId="a6">
    <w:name w:val="Table Grid"/>
    <w:basedOn w:val="a1"/>
    <w:uiPriority w:val="59"/>
    <w:rsid w:val="001745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5D4"/>
    <w:rPr>
      <w:rFonts w:ascii="Tahoma" w:hAnsi="Tahoma" w:cs="Tahoma"/>
      <w:sz w:val="16"/>
      <w:szCs w:val="16"/>
    </w:rPr>
  </w:style>
  <w:style w:type="character" w:customStyle="1" w:styleId="a8">
    <w:name w:val="Текст выноски Знак"/>
    <w:basedOn w:val="a0"/>
    <w:link w:val="a7"/>
    <w:uiPriority w:val="99"/>
    <w:semiHidden/>
    <w:rsid w:val="001745D4"/>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868"/>
    <w:pPr>
      <w:suppressAutoHyphens/>
      <w:autoSpaceDN w:val="0"/>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B7868"/>
    <w:rPr>
      <w:color w:val="0000FF"/>
      <w:u w:val="single"/>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4"/>
    <w:uiPriority w:val="99"/>
    <w:locked/>
    <w:rsid w:val="00EB7868"/>
    <w:rPr>
      <w:kern w:val="2"/>
      <w:sz w:val="24"/>
      <w:szCs w:val="24"/>
      <w:lang w:val="x-none" w:eastAsia="ar-SA"/>
    </w:rPr>
  </w:style>
  <w:style w:type="paragraph" w:styleId="a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
    <w:uiPriority w:val="99"/>
    <w:unhideWhenUsed/>
    <w:qFormat/>
    <w:rsid w:val="00EB7868"/>
    <w:pPr>
      <w:autoSpaceDN w:val="0"/>
      <w:ind w:left="720"/>
      <w:contextualSpacing/>
    </w:pPr>
    <w:rPr>
      <w:kern w:val="2"/>
      <w:sz w:val="24"/>
      <w:szCs w:val="24"/>
      <w:lang w:val="x-none" w:eastAsia="ar-SA"/>
    </w:rPr>
  </w:style>
  <w:style w:type="paragraph" w:customStyle="1" w:styleId="ConsPlusNormal">
    <w:name w:val="ConsPlusNormal"/>
    <w:link w:val="ConsPlusNormal0"/>
    <w:rsid w:val="00EB78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1745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745D4"/>
    <w:rPr>
      <w:rFonts w:ascii="Arial" w:eastAsia="Times New Roman" w:hAnsi="Arial" w:cs="Arial"/>
      <w:sz w:val="20"/>
      <w:szCs w:val="20"/>
      <w:lang w:eastAsia="ru-RU"/>
    </w:rPr>
  </w:style>
  <w:style w:type="table" w:styleId="a6">
    <w:name w:val="Table Grid"/>
    <w:basedOn w:val="a1"/>
    <w:uiPriority w:val="59"/>
    <w:rsid w:val="001745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5D4"/>
    <w:rPr>
      <w:rFonts w:ascii="Tahoma" w:hAnsi="Tahoma" w:cs="Tahoma"/>
      <w:sz w:val="16"/>
      <w:szCs w:val="16"/>
    </w:rPr>
  </w:style>
  <w:style w:type="character" w:customStyle="1" w:styleId="a8">
    <w:name w:val="Текст выноски Знак"/>
    <w:basedOn w:val="a0"/>
    <w:link w:val="a7"/>
    <w:uiPriority w:val="99"/>
    <w:semiHidden/>
    <w:rsid w:val="001745D4"/>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959837">
      <w:bodyDiv w:val="1"/>
      <w:marLeft w:val="0"/>
      <w:marRight w:val="0"/>
      <w:marTop w:val="0"/>
      <w:marBottom w:val="0"/>
      <w:divBdr>
        <w:top w:val="none" w:sz="0" w:space="0" w:color="auto"/>
        <w:left w:val="none" w:sz="0" w:space="0" w:color="auto"/>
        <w:bottom w:val="none" w:sz="0" w:space="0" w:color="auto"/>
        <w:right w:val="none" w:sz="0" w:space="0" w:color="auto"/>
      </w:divBdr>
    </w:div>
    <w:div w:id="1199977373">
      <w:bodyDiv w:val="1"/>
      <w:marLeft w:val="0"/>
      <w:marRight w:val="0"/>
      <w:marTop w:val="0"/>
      <w:marBottom w:val="0"/>
      <w:divBdr>
        <w:top w:val="none" w:sz="0" w:space="0" w:color="auto"/>
        <w:left w:val="none" w:sz="0" w:space="0" w:color="auto"/>
        <w:bottom w:val="none" w:sz="0" w:space="0" w:color="auto"/>
        <w:right w:val="none" w:sz="0" w:space="0" w:color="auto"/>
      </w:divBdr>
    </w:div>
    <w:div w:id="1217813864">
      <w:bodyDiv w:val="1"/>
      <w:marLeft w:val="0"/>
      <w:marRight w:val="0"/>
      <w:marTop w:val="0"/>
      <w:marBottom w:val="0"/>
      <w:divBdr>
        <w:top w:val="none" w:sz="0" w:space="0" w:color="auto"/>
        <w:left w:val="none" w:sz="0" w:space="0" w:color="auto"/>
        <w:bottom w:val="none" w:sz="0" w:space="0" w:color="auto"/>
        <w:right w:val="none" w:sz="0" w:space="0" w:color="auto"/>
      </w:divBdr>
    </w:div>
    <w:div w:id="155762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2017-06-07T10:42:00Z</cp:lastPrinted>
  <dcterms:created xsi:type="dcterms:W3CDTF">2017-06-07T05:58:00Z</dcterms:created>
  <dcterms:modified xsi:type="dcterms:W3CDTF">2017-06-07T10:42:00Z</dcterms:modified>
</cp:coreProperties>
</file>