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C5" w:rsidRDefault="00004FC5" w:rsidP="00004FC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004FC5" w:rsidRDefault="00004FC5" w:rsidP="00004FC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004FC5" w:rsidRDefault="00004FC5" w:rsidP="00004FC5">
      <w:pPr>
        <w:jc w:val="center"/>
        <w:rPr>
          <w:rFonts w:ascii="PT Astra Serif" w:hAnsi="PT Astra Serif"/>
          <w:b/>
          <w:bCs/>
          <w:sz w:val="24"/>
          <w:szCs w:val="24"/>
        </w:rPr>
      </w:pPr>
      <w:r>
        <w:rPr>
          <w:rFonts w:ascii="PT Astra Serif" w:hAnsi="PT Astra Serif"/>
          <w:b/>
          <w:bCs/>
          <w:sz w:val="24"/>
          <w:szCs w:val="24"/>
        </w:rPr>
        <w:t>ПРОТОКОЛ</w:t>
      </w:r>
    </w:p>
    <w:p w:rsidR="00004FC5" w:rsidRDefault="00004FC5" w:rsidP="00004FC5">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004FC5" w:rsidRDefault="00004FC5" w:rsidP="00004FC5">
      <w:pPr>
        <w:ind w:left="-993"/>
        <w:jc w:val="both"/>
        <w:rPr>
          <w:rFonts w:ascii="PT Astra Serif" w:hAnsi="PT Astra Serif"/>
          <w:sz w:val="24"/>
        </w:rPr>
      </w:pPr>
    </w:p>
    <w:p w:rsidR="00004FC5" w:rsidRDefault="00004FC5" w:rsidP="00004FC5">
      <w:pPr>
        <w:jc w:val="both"/>
        <w:rPr>
          <w:rFonts w:ascii="PT Astra Serif" w:hAnsi="PT Astra Serif"/>
          <w:sz w:val="24"/>
          <w:szCs w:val="24"/>
        </w:rPr>
      </w:pPr>
      <w:r>
        <w:rPr>
          <w:rFonts w:ascii="PT Astra Serif" w:hAnsi="PT Astra Serif"/>
          <w:sz w:val="24"/>
          <w:szCs w:val="24"/>
        </w:rPr>
        <w:t xml:space="preserve"> «01» декабря  2020 г.                                                                              № 0187300005820000305-1</w:t>
      </w:r>
    </w:p>
    <w:p w:rsidR="00004FC5" w:rsidRDefault="00004FC5" w:rsidP="00004FC5">
      <w:pPr>
        <w:jc w:val="both"/>
        <w:rPr>
          <w:rFonts w:ascii="PT Astra Serif" w:hAnsi="PT Astra Serif"/>
          <w:sz w:val="24"/>
          <w:szCs w:val="24"/>
        </w:rPr>
      </w:pPr>
    </w:p>
    <w:p w:rsidR="00004FC5" w:rsidRDefault="00004FC5" w:rsidP="00004FC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04FC5" w:rsidRDefault="00004FC5" w:rsidP="00004FC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04FC5" w:rsidRDefault="00004FC5" w:rsidP="00004FC5">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004FC5" w:rsidRDefault="00004FC5" w:rsidP="00004FC5">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004FC5" w:rsidRDefault="00004FC5" w:rsidP="00004FC5">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04FC5" w:rsidRDefault="00004FC5" w:rsidP="00004FC5">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04FC5" w:rsidRDefault="00004FC5" w:rsidP="00004FC5">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04FC5" w:rsidRDefault="00004FC5" w:rsidP="00004FC5">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004FC5" w:rsidRDefault="00004FC5" w:rsidP="00004FC5">
      <w:pPr>
        <w:jc w:val="both"/>
        <w:rPr>
          <w:rFonts w:ascii="PT Astra Serif" w:hAnsi="PT Astra Serif"/>
          <w:sz w:val="24"/>
          <w:szCs w:val="24"/>
        </w:rPr>
      </w:pPr>
      <w:r>
        <w:rPr>
          <w:rFonts w:ascii="PT Astra Serif" w:hAnsi="PT Astra Serif"/>
          <w:spacing w:val="-6"/>
          <w:sz w:val="24"/>
          <w:szCs w:val="24"/>
        </w:rPr>
        <w:t xml:space="preserve">Представитель </w:t>
      </w:r>
      <w:r>
        <w:rPr>
          <w:rFonts w:ascii="PT Astra Serif" w:hAnsi="PT Astra Serif"/>
          <w:sz w:val="24"/>
          <w:szCs w:val="24"/>
        </w:rPr>
        <w:t xml:space="preserve">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04FC5" w:rsidRDefault="00004FC5" w:rsidP="00004FC5">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0187300005820000305 </w:t>
      </w:r>
      <w:r>
        <w:rPr>
          <w:rFonts w:ascii="PT Astra Serif" w:hAnsi="PT Astra Serif"/>
          <w:iCs/>
          <w:sz w:val="24"/>
          <w:szCs w:val="24"/>
        </w:rPr>
        <w:t xml:space="preserve">среди субъектов малого предпринимательства и социально ориентированных некоммерческих организаций </w:t>
      </w:r>
      <w:r>
        <w:rPr>
          <w:rFonts w:ascii="PT Astra Serif" w:hAnsi="PT Astra Serif"/>
          <w:sz w:val="24"/>
          <w:szCs w:val="24"/>
        </w:rPr>
        <w:t>на право заключения муниципального контракта на поставку жилых помещений.</w:t>
      </w:r>
    </w:p>
    <w:p w:rsidR="00004FC5" w:rsidRDefault="00004FC5" w:rsidP="00004FC5">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0187300005820000305.</w:t>
      </w:r>
    </w:p>
    <w:p w:rsidR="00004FC5" w:rsidRDefault="00004FC5" w:rsidP="00004FC5">
      <w:pPr>
        <w:tabs>
          <w:tab w:val="num" w:pos="1142"/>
          <w:tab w:val="num" w:pos="1211"/>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04FC5">
        <w:rPr>
          <w:rFonts w:ascii="PT Astra Serif" w:hAnsi="PT Astra Serif"/>
          <w:sz w:val="24"/>
          <w:szCs w:val="24"/>
        </w:rPr>
        <w:t>203862201149086220100100300016810412</w:t>
      </w:r>
      <w:r>
        <w:rPr>
          <w:rFonts w:ascii="PT Astra Serif" w:hAnsi="PT Astra Serif"/>
          <w:sz w:val="24"/>
          <w:szCs w:val="24"/>
        </w:rPr>
        <w:t>.</w:t>
      </w:r>
    </w:p>
    <w:p w:rsidR="00004FC5" w:rsidRDefault="00004FC5" w:rsidP="00004FC5">
      <w:pPr>
        <w:tabs>
          <w:tab w:val="num" w:pos="1142"/>
          <w:tab w:val="num" w:pos="1211"/>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004FC5" w:rsidRDefault="00004FC5" w:rsidP="00004FC5">
      <w:pPr>
        <w:jc w:val="both"/>
        <w:rPr>
          <w:rFonts w:ascii="PT Astra Serif" w:hAnsi="PT Astra Serif"/>
          <w:sz w:val="24"/>
        </w:rPr>
      </w:pPr>
      <w:r>
        <w:rPr>
          <w:rFonts w:ascii="PT Astra Serif" w:hAnsi="PT Astra Serif"/>
          <w:sz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004FC5" w:rsidRDefault="00004FC5" w:rsidP="00004FC5">
      <w:pPr>
        <w:jc w:val="both"/>
        <w:rPr>
          <w:rFonts w:ascii="PT Astra Serif" w:hAnsi="PT Astra Serif"/>
          <w:sz w:val="24"/>
        </w:rPr>
      </w:pPr>
      <w:r>
        <w:rPr>
          <w:rFonts w:ascii="PT Astra Serif" w:hAnsi="PT Astra Serif"/>
          <w:b/>
          <w:sz w:val="24"/>
          <w:szCs w:val="24"/>
        </w:rPr>
        <w:t xml:space="preserve"> </w:t>
      </w:r>
      <w:r>
        <w:rPr>
          <w:rFonts w:ascii="PT Astra Serif" w:hAnsi="PT Astra Serif"/>
          <w:sz w:val="24"/>
        </w:rPr>
        <w:t>4. </w:t>
      </w:r>
      <w:proofErr w:type="gramStart"/>
      <w:r>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rPr>
        <w:t xml:space="preserve"> «30» ноября 2020г. 10 часов 00 минут была подана: 1 (одна) заявка на участие в аукционе (под номером №</w:t>
      </w:r>
      <w:r w:rsidR="006C045A">
        <w:rPr>
          <w:rFonts w:ascii="PT Astra Serif" w:hAnsi="PT Astra Serif"/>
          <w:sz w:val="24"/>
        </w:rPr>
        <w:t>147</w:t>
      </w:r>
      <w:r>
        <w:rPr>
          <w:rFonts w:ascii="PT Astra Serif" w:hAnsi="PT Astra Serif"/>
          <w:sz w:val="24"/>
        </w:rPr>
        <w:t>).</w:t>
      </w:r>
    </w:p>
    <w:p w:rsidR="00004FC5" w:rsidRDefault="00004FC5" w:rsidP="00004FC5">
      <w:pPr>
        <w:jc w:val="both"/>
        <w:rPr>
          <w:rFonts w:ascii="PT Astra Serif" w:hAnsi="PT Astra Serif"/>
          <w:sz w:val="24"/>
        </w:rPr>
      </w:pPr>
      <w:r>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04FC5" w:rsidRDefault="00004FC5" w:rsidP="00004FC5">
      <w:pPr>
        <w:jc w:val="both"/>
        <w:rPr>
          <w:rFonts w:ascii="PT Astra Serif" w:hAnsi="PT Astra Serif"/>
          <w:sz w:val="24"/>
        </w:rPr>
      </w:pPr>
      <w:r>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04FC5" w:rsidRPr="006C045A" w:rsidRDefault="00004FC5" w:rsidP="00004FC5">
      <w:pPr>
        <w:jc w:val="both"/>
        <w:rPr>
          <w:rFonts w:ascii="PT Astra Serif" w:hAnsi="PT Astra Serif"/>
          <w:sz w:val="24"/>
        </w:rPr>
      </w:pPr>
      <w:r w:rsidRPr="006C045A">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6C045A" w:rsidRPr="006C045A">
        <w:rPr>
          <w:rFonts w:ascii="PT Astra Serif" w:hAnsi="PT Astra Serif"/>
          <w:spacing w:val="-6"/>
          <w:sz w:val="24"/>
          <w:szCs w:val="24"/>
        </w:rPr>
        <w:t>147</w:t>
      </w:r>
      <w:r w:rsidRPr="006C045A">
        <w:rPr>
          <w:rFonts w:ascii="PT Astra Serif" w:hAnsi="PT Astra Serif"/>
          <w:spacing w:val="-6"/>
          <w:sz w:val="24"/>
          <w:szCs w:val="24"/>
        </w:rPr>
        <w:t xml:space="preserve"> </w:t>
      </w:r>
      <w:r w:rsidRPr="006C045A">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04FC5" w:rsidRPr="006C045A" w:rsidRDefault="00004FC5" w:rsidP="00004FC5">
      <w:pPr>
        <w:jc w:val="both"/>
        <w:rPr>
          <w:rFonts w:ascii="PT Astra Serif" w:hAnsi="PT Astra Serif"/>
          <w:sz w:val="24"/>
        </w:rPr>
      </w:pPr>
      <w:r w:rsidRPr="006C045A">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004FC5" w:rsidRPr="006C045A" w:rsidRDefault="00004FC5" w:rsidP="00004FC5">
      <w:pPr>
        <w:jc w:val="both"/>
        <w:rPr>
          <w:rFonts w:ascii="PT Serif" w:hAnsi="PT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004FC5" w:rsidRPr="006C045A" w:rsidTr="00004FC5">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004FC5" w:rsidRPr="006C045A" w:rsidRDefault="00004FC5">
            <w:pPr>
              <w:pStyle w:val="a7"/>
              <w:tabs>
                <w:tab w:val="num" w:pos="567"/>
              </w:tabs>
              <w:ind w:left="0"/>
              <w:jc w:val="center"/>
              <w:rPr>
                <w:rFonts w:ascii="PT Astra Serif" w:hAnsi="PT Astra Serif"/>
                <w:spacing w:val="-6"/>
                <w:sz w:val="24"/>
                <w:szCs w:val="24"/>
              </w:rPr>
            </w:pPr>
            <w:r w:rsidRPr="006C045A">
              <w:rPr>
                <w:rFonts w:ascii="PT Astra Serif" w:hAnsi="PT Astra Serif"/>
                <w:spacing w:val="-6"/>
                <w:sz w:val="24"/>
                <w:szCs w:val="24"/>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004FC5" w:rsidRPr="006C045A" w:rsidRDefault="00004FC5">
            <w:pPr>
              <w:pStyle w:val="a7"/>
              <w:tabs>
                <w:tab w:val="num" w:pos="567"/>
              </w:tabs>
              <w:ind w:left="0"/>
              <w:jc w:val="center"/>
              <w:rPr>
                <w:rFonts w:ascii="PT Astra Serif" w:hAnsi="PT Astra Serif"/>
                <w:spacing w:val="-6"/>
                <w:sz w:val="24"/>
                <w:szCs w:val="24"/>
              </w:rPr>
            </w:pPr>
            <w:r w:rsidRPr="006C045A">
              <w:rPr>
                <w:rFonts w:ascii="PT Astra Serif" w:hAnsi="PT Astra Serif"/>
                <w:spacing w:val="-6"/>
                <w:sz w:val="24"/>
                <w:szCs w:val="24"/>
              </w:rPr>
              <w:t>Наименование участника закупки</w:t>
            </w:r>
          </w:p>
        </w:tc>
      </w:tr>
      <w:tr w:rsidR="00004FC5" w:rsidTr="00004FC5">
        <w:trPr>
          <w:trHeight w:val="2025"/>
        </w:trPr>
        <w:tc>
          <w:tcPr>
            <w:tcW w:w="2694" w:type="dxa"/>
            <w:tcBorders>
              <w:top w:val="single" w:sz="4" w:space="0" w:color="auto"/>
              <w:left w:val="single" w:sz="4" w:space="0" w:color="auto"/>
              <w:bottom w:val="single" w:sz="4" w:space="0" w:color="auto"/>
              <w:right w:val="single" w:sz="4" w:space="0" w:color="auto"/>
            </w:tcBorders>
            <w:hideMark/>
          </w:tcPr>
          <w:p w:rsidR="00004FC5" w:rsidRPr="006C045A" w:rsidRDefault="006C045A">
            <w:pPr>
              <w:pStyle w:val="a7"/>
              <w:tabs>
                <w:tab w:val="num" w:pos="567"/>
              </w:tabs>
              <w:ind w:left="0"/>
              <w:jc w:val="center"/>
              <w:rPr>
                <w:rFonts w:ascii="PT Serif" w:hAnsi="PT Serif"/>
                <w:spacing w:val="-6"/>
                <w:sz w:val="24"/>
                <w:szCs w:val="24"/>
              </w:rPr>
            </w:pPr>
            <w:r w:rsidRPr="006C045A">
              <w:rPr>
                <w:rFonts w:ascii="PT Serif" w:hAnsi="PT Serif"/>
                <w:spacing w:val="-6"/>
                <w:sz w:val="24"/>
                <w:szCs w:val="24"/>
              </w:rPr>
              <w:lastRenderedPageBreak/>
              <w:t>147</w:t>
            </w:r>
          </w:p>
        </w:tc>
        <w:tc>
          <w:tcPr>
            <w:tcW w:w="7371"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6C045A" w:rsidRPr="006C045A" w:rsidTr="006C045A">
              <w:trPr>
                <w:tblCellSpacing w:w="15" w:type="dxa"/>
              </w:trPr>
              <w:tc>
                <w:tcPr>
                  <w:tcW w:w="1691"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Наименование/Фирменное наименование </w:t>
                  </w:r>
                </w:p>
              </w:tc>
              <w:tc>
                <w:tcPr>
                  <w:tcW w:w="5344"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b/>
                      <w:bCs/>
                      <w:color w:val="000000"/>
                    </w:rPr>
                    <w:t>ОБЩЕСТВО С ОГРАНИЧЕННОЙ ОТВЕТСТВЕННОСТЬЮ "РЕМКОМ"</w:t>
                  </w:r>
                  <w:r w:rsidRPr="006C045A">
                    <w:rPr>
                      <w:rFonts w:ascii="PT Astra Serif" w:eastAsia="Calibri" w:hAnsi="PT Astra Serif" w:cs="Calibri"/>
                      <w:b/>
                      <w:bCs/>
                      <w:color w:val="000000"/>
                    </w:rPr>
                    <w:br/>
                  </w:r>
                </w:p>
              </w:tc>
            </w:tr>
            <w:tr w:rsidR="006C045A" w:rsidRPr="006C045A" w:rsidTr="006C045A">
              <w:trPr>
                <w:tblCellSpacing w:w="15" w:type="dxa"/>
              </w:trPr>
              <w:tc>
                <w:tcPr>
                  <w:tcW w:w="1691"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ИНН </w:t>
                  </w:r>
                </w:p>
              </w:tc>
              <w:tc>
                <w:tcPr>
                  <w:tcW w:w="5344"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8615003508</w:t>
                  </w:r>
                </w:p>
              </w:tc>
            </w:tr>
            <w:tr w:rsidR="006C045A" w:rsidRPr="006C045A" w:rsidTr="006C045A">
              <w:trPr>
                <w:tblCellSpacing w:w="15" w:type="dxa"/>
              </w:trPr>
              <w:tc>
                <w:tcPr>
                  <w:tcW w:w="1691"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КПП </w:t>
                  </w:r>
                </w:p>
              </w:tc>
              <w:tc>
                <w:tcPr>
                  <w:tcW w:w="5344"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861501001</w:t>
                  </w:r>
                </w:p>
              </w:tc>
            </w:tr>
            <w:tr w:rsidR="006C045A" w:rsidRPr="006C045A" w:rsidTr="006C045A">
              <w:trPr>
                <w:tblCellSpacing w:w="15" w:type="dxa"/>
              </w:trPr>
              <w:tc>
                <w:tcPr>
                  <w:tcW w:w="1691"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628250, АО ХАНТЫ-МАНСИЙСКИЙ АВТОНОМНЫЙ ОКРУГ - ЮГРА, Р-Н СОВЕТСКИЙ, ПГТ ПИОНЕРСКИЙ, </w:t>
                  </w:r>
                  <w:proofErr w:type="gramStart"/>
                  <w:r w:rsidRPr="006C045A">
                    <w:rPr>
                      <w:rFonts w:ascii="PT Astra Serif" w:eastAsia="Calibri" w:hAnsi="PT Astra Serif" w:cs="Calibri"/>
                      <w:color w:val="000000"/>
                    </w:rPr>
                    <w:t>УЛ</w:t>
                  </w:r>
                  <w:proofErr w:type="gramEnd"/>
                  <w:r w:rsidRPr="006C045A">
                    <w:rPr>
                      <w:rFonts w:ascii="PT Astra Serif" w:eastAsia="Calibri" w:hAnsi="PT Astra Serif" w:cs="Calibri"/>
                      <w:color w:val="000000"/>
                    </w:rPr>
                    <w:t xml:space="preserve"> ЛЕНИНА, ДОМ 8А, ПОМЕЩЕНИЕ 2</w:t>
                  </w:r>
                </w:p>
              </w:tc>
            </w:tr>
            <w:tr w:rsidR="006C045A" w:rsidRPr="006C045A" w:rsidTr="006C045A">
              <w:trPr>
                <w:tblCellSpacing w:w="15" w:type="dxa"/>
              </w:trPr>
              <w:tc>
                <w:tcPr>
                  <w:tcW w:w="1691"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628250, АО ХАНТЫ-МАНСИЙСКИЙ АВТОНОМНЫЙ ОКРУГ - ЮГРА, Р-Н СОВЕТСКИЙ, ПГТ ПИОНЕРСКИЙ, </w:t>
                  </w:r>
                  <w:proofErr w:type="gramStart"/>
                  <w:r w:rsidRPr="006C045A">
                    <w:rPr>
                      <w:rFonts w:ascii="PT Astra Serif" w:eastAsia="Calibri" w:hAnsi="PT Astra Serif" w:cs="Calibri"/>
                      <w:color w:val="000000"/>
                    </w:rPr>
                    <w:t>УЛ</w:t>
                  </w:r>
                  <w:proofErr w:type="gramEnd"/>
                  <w:r w:rsidRPr="006C045A">
                    <w:rPr>
                      <w:rFonts w:ascii="PT Astra Serif" w:eastAsia="Calibri" w:hAnsi="PT Astra Serif" w:cs="Calibri"/>
                      <w:color w:val="000000"/>
                    </w:rPr>
                    <w:t xml:space="preserve"> ЛЕНИНА, ДОМ 8А, ПОМЕЩЕНИЕ 2</w:t>
                  </w:r>
                </w:p>
              </w:tc>
            </w:tr>
            <w:tr w:rsidR="006C045A" w:rsidRPr="006C045A" w:rsidTr="006C045A">
              <w:trPr>
                <w:tblCellSpacing w:w="15" w:type="dxa"/>
              </w:trPr>
              <w:tc>
                <w:tcPr>
                  <w:tcW w:w="1691"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 xml:space="preserve">Контактный телефон </w:t>
                  </w:r>
                </w:p>
              </w:tc>
              <w:tc>
                <w:tcPr>
                  <w:tcW w:w="5344" w:type="dxa"/>
                  <w:tcMar>
                    <w:top w:w="15" w:type="dxa"/>
                    <w:left w:w="15" w:type="dxa"/>
                    <w:bottom w:w="15" w:type="dxa"/>
                    <w:right w:w="15" w:type="dxa"/>
                  </w:tcMar>
                  <w:hideMark/>
                </w:tcPr>
                <w:p w:rsidR="006C045A" w:rsidRPr="006C045A" w:rsidRDefault="006C045A">
                  <w:pPr>
                    <w:rPr>
                      <w:rFonts w:ascii="PT Astra Serif" w:eastAsia="Calibri" w:hAnsi="PT Astra Serif" w:cs="Calibri"/>
                      <w:color w:val="000000"/>
                      <w:sz w:val="24"/>
                      <w:szCs w:val="24"/>
                    </w:rPr>
                  </w:pPr>
                  <w:r w:rsidRPr="006C045A">
                    <w:rPr>
                      <w:rFonts w:ascii="PT Astra Serif" w:eastAsia="Calibri" w:hAnsi="PT Astra Serif" w:cs="Calibri"/>
                      <w:color w:val="000000"/>
                    </w:rPr>
                    <w:t>79322484577</w:t>
                  </w:r>
                </w:p>
              </w:tc>
            </w:tr>
          </w:tbl>
          <w:p w:rsidR="00004FC5" w:rsidRPr="006C045A" w:rsidRDefault="00004FC5">
            <w:pPr>
              <w:pStyle w:val="a7"/>
              <w:tabs>
                <w:tab w:val="num" w:pos="567"/>
              </w:tabs>
              <w:ind w:left="0"/>
              <w:jc w:val="both"/>
              <w:rPr>
                <w:rFonts w:ascii="PT Serif" w:hAnsi="PT Serif"/>
                <w:spacing w:val="-6"/>
                <w:sz w:val="24"/>
                <w:szCs w:val="24"/>
              </w:rPr>
            </w:pPr>
          </w:p>
        </w:tc>
      </w:tr>
    </w:tbl>
    <w:p w:rsidR="00004FC5" w:rsidRDefault="00004FC5" w:rsidP="00004FC5">
      <w:pPr>
        <w:jc w:val="both"/>
        <w:rPr>
          <w:rFonts w:ascii="PT Astra Serif" w:hAnsi="PT Astra Serif"/>
          <w:sz w:val="24"/>
        </w:rPr>
      </w:pPr>
      <w:r>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004FC5" w:rsidRDefault="00004FC5" w:rsidP="00004FC5">
      <w:pPr>
        <w:pStyle w:val="a7"/>
        <w:tabs>
          <w:tab w:val="num" w:pos="567"/>
        </w:tabs>
        <w:ind w:left="0"/>
        <w:jc w:val="both"/>
        <w:rPr>
          <w:rFonts w:ascii="PT Astra Serif" w:hAnsi="PT Astra Serif"/>
          <w:spacing w:val="-6"/>
          <w:sz w:val="24"/>
          <w:szCs w:val="24"/>
        </w:rPr>
      </w:pPr>
    </w:p>
    <w:p w:rsidR="00004FC5" w:rsidRDefault="00004FC5" w:rsidP="00004FC5">
      <w:pPr>
        <w:jc w:val="center"/>
        <w:rPr>
          <w:rFonts w:ascii="PT Astra Serif" w:hAnsi="PT Astra Serif"/>
          <w:noProof/>
          <w:sz w:val="24"/>
          <w:szCs w:val="24"/>
        </w:rPr>
      </w:pPr>
      <w:r>
        <w:rPr>
          <w:rFonts w:ascii="PT Astra Serif" w:hAnsi="PT Astra Serif"/>
          <w:noProof/>
          <w:sz w:val="24"/>
          <w:szCs w:val="24"/>
        </w:rPr>
        <w:t>Сведения о решении</w:t>
      </w:r>
    </w:p>
    <w:p w:rsidR="00004FC5" w:rsidRDefault="00004FC5" w:rsidP="00004FC5">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004FC5" w:rsidRDefault="00004FC5" w:rsidP="00004FC5">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004FC5" w:rsidTr="00004FC5">
        <w:tc>
          <w:tcPr>
            <w:tcW w:w="6379"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after="60"/>
              <w:jc w:val="center"/>
              <w:rPr>
                <w:rFonts w:ascii="PT Serif" w:hAnsi="PT Serif"/>
                <w:noProof/>
              </w:rPr>
            </w:pPr>
            <w:r>
              <w:rPr>
                <w:rFonts w:ascii="PT Serif" w:hAnsi="PT Serif"/>
                <w:noProof/>
              </w:rPr>
              <w:t>Состав комиссии</w:t>
            </w:r>
          </w:p>
        </w:tc>
      </w:tr>
      <w:tr w:rsidR="00004FC5" w:rsidTr="00004FC5">
        <w:tc>
          <w:tcPr>
            <w:tcW w:w="6379" w:type="dxa"/>
            <w:tcBorders>
              <w:top w:val="single" w:sz="4" w:space="0" w:color="auto"/>
              <w:left w:val="single" w:sz="4" w:space="0" w:color="auto"/>
              <w:bottom w:val="single" w:sz="4" w:space="0" w:color="auto"/>
              <w:right w:val="single" w:sz="4" w:space="0" w:color="auto"/>
            </w:tcBorders>
            <w:hideMark/>
          </w:tcPr>
          <w:p w:rsidR="00004FC5" w:rsidRDefault="00004FC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04FC5" w:rsidRDefault="00004FC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line="276" w:lineRule="auto"/>
              <w:jc w:val="center"/>
              <w:rPr>
                <w:rFonts w:ascii="PT Serif" w:eastAsia="Calibri" w:hAnsi="PT Serif"/>
                <w:sz w:val="22"/>
                <w:szCs w:val="22"/>
              </w:rPr>
            </w:pPr>
            <w:r>
              <w:rPr>
                <w:rFonts w:ascii="PT Serif" w:eastAsia="Calibri" w:hAnsi="PT Serif"/>
                <w:sz w:val="22"/>
                <w:szCs w:val="22"/>
              </w:rPr>
              <w:t xml:space="preserve">С.Д. </w:t>
            </w:r>
            <w:proofErr w:type="spellStart"/>
            <w:r>
              <w:rPr>
                <w:rFonts w:ascii="PT Serif" w:eastAsia="Calibri" w:hAnsi="PT Serif"/>
                <w:sz w:val="22"/>
                <w:szCs w:val="22"/>
              </w:rPr>
              <w:t>Голин</w:t>
            </w:r>
            <w:proofErr w:type="spellEnd"/>
          </w:p>
        </w:tc>
      </w:tr>
      <w:tr w:rsidR="00004FC5" w:rsidTr="00004FC5">
        <w:tc>
          <w:tcPr>
            <w:tcW w:w="6379" w:type="dxa"/>
            <w:tcBorders>
              <w:top w:val="single" w:sz="4" w:space="0" w:color="auto"/>
              <w:left w:val="single" w:sz="4" w:space="0" w:color="auto"/>
              <w:bottom w:val="single" w:sz="4" w:space="0" w:color="auto"/>
              <w:right w:val="single" w:sz="4" w:space="0" w:color="auto"/>
            </w:tcBorders>
            <w:hideMark/>
          </w:tcPr>
          <w:p w:rsidR="00004FC5" w:rsidRDefault="00004FC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04FC5" w:rsidRDefault="00004FC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004FC5" w:rsidTr="00004FC5">
        <w:tc>
          <w:tcPr>
            <w:tcW w:w="6379" w:type="dxa"/>
            <w:tcBorders>
              <w:top w:val="single" w:sz="4" w:space="0" w:color="auto"/>
              <w:left w:val="single" w:sz="4" w:space="0" w:color="auto"/>
              <w:bottom w:val="single" w:sz="4" w:space="0" w:color="auto"/>
              <w:right w:val="single" w:sz="4" w:space="0" w:color="auto"/>
            </w:tcBorders>
            <w:hideMark/>
          </w:tcPr>
          <w:p w:rsidR="00004FC5" w:rsidRDefault="00004FC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04FC5" w:rsidRDefault="00004FC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004FC5" w:rsidTr="00004FC5">
        <w:tc>
          <w:tcPr>
            <w:tcW w:w="6379" w:type="dxa"/>
            <w:tcBorders>
              <w:top w:val="single" w:sz="4" w:space="0" w:color="auto"/>
              <w:left w:val="single" w:sz="4" w:space="0" w:color="auto"/>
              <w:bottom w:val="single" w:sz="4" w:space="0" w:color="auto"/>
              <w:right w:val="single" w:sz="4" w:space="0" w:color="auto"/>
            </w:tcBorders>
            <w:hideMark/>
          </w:tcPr>
          <w:p w:rsidR="00004FC5" w:rsidRDefault="00004FC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04FC5" w:rsidRDefault="00004FC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4FC5" w:rsidRDefault="00004FC5">
            <w:pPr>
              <w:spacing w:line="276" w:lineRule="auto"/>
              <w:jc w:val="center"/>
              <w:rPr>
                <w:rFonts w:ascii="PT Serif" w:hAnsi="PT Serif"/>
                <w:sz w:val="22"/>
                <w:szCs w:val="22"/>
              </w:rPr>
            </w:pPr>
            <w:r>
              <w:rPr>
                <w:rFonts w:ascii="PT Serif" w:hAnsi="PT Serif"/>
                <w:sz w:val="22"/>
                <w:szCs w:val="22"/>
              </w:rPr>
              <w:t>Н.Б. Захарова</w:t>
            </w:r>
          </w:p>
        </w:tc>
      </w:tr>
    </w:tbl>
    <w:p w:rsidR="00004FC5" w:rsidRDefault="00004FC5" w:rsidP="00004FC5">
      <w:pPr>
        <w:ind w:left="-993"/>
        <w:jc w:val="both"/>
        <w:rPr>
          <w:rFonts w:ascii="PT Serif" w:hAnsi="PT Serif"/>
          <w:b/>
          <w:sz w:val="24"/>
          <w:szCs w:val="24"/>
        </w:rPr>
      </w:pPr>
    </w:p>
    <w:p w:rsidR="00004FC5" w:rsidRDefault="00004FC5" w:rsidP="00004FC5">
      <w:pPr>
        <w:ind w:left="284"/>
        <w:jc w:val="both"/>
        <w:rPr>
          <w:rFonts w:ascii="PT Serif" w:hAnsi="PT Serif"/>
          <w:b/>
          <w:sz w:val="24"/>
          <w:szCs w:val="24"/>
        </w:rPr>
      </w:pPr>
      <w:r>
        <w:rPr>
          <w:rFonts w:ascii="PT Serif" w:hAnsi="PT Serif"/>
          <w:b/>
          <w:sz w:val="24"/>
          <w:szCs w:val="24"/>
        </w:rPr>
        <w:t xml:space="preserve">  Председатель комиссии:                                                                   </w:t>
      </w:r>
      <w:r>
        <w:rPr>
          <w:rFonts w:ascii="PT Serif" w:eastAsia="Calibri" w:hAnsi="PT Serif"/>
          <w:b/>
          <w:sz w:val="22"/>
          <w:szCs w:val="22"/>
        </w:rPr>
        <w:t xml:space="preserve">С.Д. </w:t>
      </w:r>
      <w:proofErr w:type="spellStart"/>
      <w:r>
        <w:rPr>
          <w:rFonts w:ascii="PT Serif" w:eastAsia="Calibri" w:hAnsi="PT Serif"/>
          <w:b/>
          <w:sz w:val="22"/>
          <w:szCs w:val="22"/>
        </w:rPr>
        <w:t>Голин</w:t>
      </w:r>
      <w:proofErr w:type="spellEnd"/>
    </w:p>
    <w:p w:rsidR="00004FC5" w:rsidRDefault="00004FC5" w:rsidP="00004FC5">
      <w:pPr>
        <w:ind w:left="284"/>
        <w:jc w:val="both"/>
        <w:rPr>
          <w:rFonts w:ascii="PT Serif" w:hAnsi="PT Serif"/>
          <w:b/>
          <w:sz w:val="24"/>
          <w:szCs w:val="24"/>
        </w:rPr>
      </w:pPr>
      <w:r>
        <w:rPr>
          <w:rFonts w:ascii="PT Serif" w:hAnsi="PT Serif"/>
          <w:b/>
          <w:sz w:val="24"/>
          <w:szCs w:val="24"/>
        </w:rPr>
        <w:t xml:space="preserve">  Члены  комиссии</w:t>
      </w:r>
    </w:p>
    <w:p w:rsidR="00004FC5" w:rsidRDefault="00004FC5" w:rsidP="00004FC5">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004FC5" w:rsidRDefault="00004FC5" w:rsidP="00004FC5">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004FC5" w:rsidRDefault="00004FC5" w:rsidP="00004FC5">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004FC5" w:rsidRDefault="00004FC5" w:rsidP="00004FC5">
      <w:pPr>
        <w:jc w:val="right"/>
        <w:rPr>
          <w:rFonts w:ascii="PT Serif" w:hAnsi="PT Serif"/>
          <w:sz w:val="24"/>
          <w:szCs w:val="24"/>
        </w:rPr>
      </w:pPr>
      <w:r>
        <w:rPr>
          <w:rFonts w:ascii="PT Serif" w:hAnsi="PT Serif"/>
          <w:sz w:val="24"/>
          <w:szCs w:val="24"/>
        </w:rPr>
        <w:t xml:space="preserve">__________________Н.Б. Захарова                                                                             </w:t>
      </w:r>
    </w:p>
    <w:p w:rsidR="00004FC5" w:rsidRDefault="00004FC5" w:rsidP="00004FC5">
      <w:pPr>
        <w:ind w:left="142"/>
        <w:rPr>
          <w:rFonts w:ascii="PT Serif" w:hAnsi="PT Serif"/>
          <w:sz w:val="24"/>
          <w:szCs w:val="24"/>
        </w:rPr>
      </w:pPr>
    </w:p>
    <w:p w:rsidR="00004FC5" w:rsidRDefault="00004FC5" w:rsidP="00004FC5">
      <w:pPr>
        <w:ind w:left="-993"/>
        <w:jc w:val="both"/>
        <w:rPr>
          <w:rFonts w:ascii="PT Serif" w:hAnsi="PT Serif"/>
          <w:sz w:val="24"/>
          <w:szCs w:val="24"/>
        </w:rPr>
      </w:pPr>
      <w:r>
        <w:rPr>
          <w:rFonts w:ascii="PT Serif" w:hAnsi="PT Serif"/>
          <w:sz w:val="24"/>
          <w:szCs w:val="24"/>
        </w:rPr>
        <w:t xml:space="preserve">                                                                                  </w:t>
      </w:r>
    </w:p>
    <w:p w:rsidR="00004FC5" w:rsidRDefault="00004FC5" w:rsidP="00004FC5">
      <w:pPr>
        <w:ind w:left="-993"/>
        <w:rPr>
          <w:color w:val="FF0000"/>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 </w:t>
      </w:r>
      <w:r>
        <w:rPr>
          <w:rFonts w:ascii="PT Astra Serif" w:hAnsi="PT Astra Serif"/>
          <w:sz w:val="24"/>
          <w:szCs w:val="24"/>
        </w:rPr>
        <w:t xml:space="preserve">М.Л. </w:t>
      </w:r>
      <w:proofErr w:type="spellStart"/>
      <w:r>
        <w:rPr>
          <w:rFonts w:ascii="PT Astra Serif" w:hAnsi="PT Astra Serif"/>
          <w:sz w:val="24"/>
          <w:szCs w:val="24"/>
        </w:rPr>
        <w:t>Прошкина</w:t>
      </w:r>
      <w:proofErr w:type="spellEnd"/>
      <w:r>
        <w:rPr>
          <w:rFonts w:ascii="PT Astra Serif" w:hAnsi="PT Astra Serif"/>
          <w:sz w:val="24"/>
          <w:szCs w:val="24"/>
        </w:rPr>
        <w:t xml:space="preserve"> </w:t>
      </w:r>
    </w:p>
    <w:p w:rsidR="00004FC5" w:rsidRDefault="00004FC5" w:rsidP="00004FC5">
      <w:pPr>
        <w:ind w:left="-993"/>
        <w:rPr>
          <w:color w:val="FF0000"/>
        </w:rPr>
      </w:pPr>
    </w:p>
    <w:p w:rsidR="00004FC5" w:rsidRDefault="00004FC5" w:rsidP="00004FC5">
      <w:pPr>
        <w:ind w:hanging="426"/>
        <w:jc w:val="right"/>
      </w:pPr>
    </w:p>
    <w:p w:rsidR="00004FC5" w:rsidRDefault="00004FC5" w:rsidP="00004FC5">
      <w:pPr>
        <w:ind w:hanging="426"/>
        <w:jc w:val="right"/>
      </w:pPr>
    </w:p>
    <w:p w:rsidR="006C045A" w:rsidRDefault="006C045A" w:rsidP="00004FC5">
      <w:pPr>
        <w:ind w:hanging="426"/>
        <w:jc w:val="right"/>
      </w:pPr>
    </w:p>
    <w:p w:rsidR="00C03BC5" w:rsidRDefault="00C03BC5" w:rsidP="00004FC5">
      <w:pPr>
        <w:ind w:hanging="426"/>
        <w:jc w:val="right"/>
      </w:pPr>
    </w:p>
    <w:p w:rsidR="00C03BC5" w:rsidRDefault="00C03BC5" w:rsidP="00004FC5">
      <w:pPr>
        <w:ind w:hanging="426"/>
        <w:jc w:val="right"/>
      </w:pPr>
    </w:p>
    <w:p w:rsidR="00C03BC5" w:rsidRDefault="00C03BC5" w:rsidP="00004FC5">
      <w:pPr>
        <w:ind w:hanging="426"/>
        <w:jc w:val="right"/>
      </w:pPr>
    </w:p>
    <w:p w:rsidR="00C03BC5" w:rsidRDefault="00C03BC5" w:rsidP="00004FC5">
      <w:pPr>
        <w:ind w:hanging="426"/>
        <w:jc w:val="right"/>
      </w:pPr>
    </w:p>
    <w:p w:rsidR="00C03BC5" w:rsidRDefault="00C03BC5" w:rsidP="00004FC5">
      <w:pPr>
        <w:ind w:hanging="426"/>
        <w:jc w:val="right"/>
      </w:pPr>
    </w:p>
    <w:p w:rsidR="006C045A" w:rsidRDefault="006C045A" w:rsidP="00004FC5">
      <w:pPr>
        <w:ind w:hanging="426"/>
        <w:jc w:val="right"/>
      </w:pPr>
    </w:p>
    <w:p w:rsidR="009A7FC9" w:rsidRDefault="009A7FC9" w:rsidP="009A7FC9">
      <w:pPr>
        <w:ind w:hanging="426"/>
        <w:jc w:val="right"/>
      </w:pPr>
      <w:r>
        <w:lastRenderedPageBreak/>
        <w:t>Приложение 1</w:t>
      </w:r>
    </w:p>
    <w:p w:rsidR="009A7FC9" w:rsidRDefault="009A7FC9" w:rsidP="009A7FC9">
      <w:pPr>
        <w:tabs>
          <w:tab w:val="left" w:pos="3930"/>
          <w:tab w:val="right" w:pos="9355"/>
        </w:tabs>
        <w:jc w:val="right"/>
      </w:pPr>
      <w:r>
        <w:t>к протоколу рассмотрения единственной заявки</w:t>
      </w:r>
    </w:p>
    <w:p w:rsidR="009A7FC9" w:rsidRDefault="009A7FC9" w:rsidP="009A7FC9">
      <w:pPr>
        <w:tabs>
          <w:tab w:val="left" w:pos="0"/>
          <w:tab w:val="right" w:pos="9355"/>
        </w:tabs>
        <w:jc w:val="right"/>
      </w:pPr>
      <w:r>
        <w:t>на участие в аукционе в электронной форме</w:t>
      </w:r>
    </w:p>
    <w:p w:rsidR="009A7FC9" w:rsidRDefault="009A7FC9" w:rsidP="009A7FC9">
      <w:pPr>
        <w:tabs>
          <w:tab w:val="left" w:pos="3930"/>
          <w:tab w:val="right" w:pos="9355"/>
        </w:tabs>
        <w:jc w:val="right"/>
      </w:pPr>
      <w:r>
        <w:t>от «01» декабря 2020 г. № 0187300005820000305-1</w:t>
      </w:r>
    </w:p>
    <w:p w:rsidR="009A7FC9" w:rsidRDefault="009A7FC9" w:rsidP="009A7FC9">
      <w:pPr>
        <w:jc w:val="center"/>
      </w:pPr>
      <w:r>
        <w:t>Таблица рассмотрения единственной заявки</w:t>
      </w:r>
    </w:p>
    <w:p w:rsidR="009A7FC9" w:rsidRDefault="009A7FC9" w:rsidP="009A7FC9">
      <w:pPr>
        <w:pStyle w:val="a7"/>
        <w:keepNext/>
        <w:keepLines/>
        <w:suppressLineNumbers/>
        <w:suppressAutoHyphens/>
        <w:ind w:left="-709"/>
        <w:jc w:val="center"/>
      </w:pPr>
      <w:r>
        <w:t xml:space="preserve">на участие в аукционе в электронной форме на право заключения муниципального контракта </w:t>
      </w:r>
    </w:p>
    <w:p w:rsidR="009A7FC9" w:rsidRDefault="009A7FC9" w:rsidP="009A7FC9">
      <w:pPr>
        <w:pStyle w:val="a7"/>
        <w:keepNext/>
        <w:keepLines/>
        <w:suppressLineNumbers/>
        <w:suppressAutoHyphens/>
        <w:ind w:left="-709"/>
        <w:jc w:val="center"/>
      </w:pPr>
      <w:r>
        <w:t>на поставку жилых помещений.</w:t>
      </w:r>
    </w:p>
    <w:p w:rsidR="009A7FC9" w:rsidRDefault="009A7FC9" w:rsidP="009A7FC9">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tbl>
      <w:tblPr>
        <w:tblW w:w="10966" w:type="dxa"/>
        <w:tblInd w:w="-398" w:type="dxa"/>
        <w:tblCellMar>
          <w:top w:w="28" w:type="dxa"/>
          <w:left w:w="28" w:type="dxa"/>
          <w:bottom w:w="28" w:type="dxa"/>
          <w:right w:w="28" w:type="dxa"/>
        </w:tblCellMar>
        <w:tblLook w:val="04A0" w:firstRow="1" w:lastRow="0" w:firstColumn="1" w:lastColumn="0" w:noHBand="0" w:noVBand="1"/>
      </w:tblPr>
      <w:tblGrid>
        <w:gridCol w:w="2631"/>
        <w:gridCol w:w="4741"/>
        <w:gridCol w:w="1538"/>
        <w:gridCol w:w="2056"/>
      </w:tblGrid>
      <w:tr w:rsidR="009A7FC9" w:rsidTr="00C03BC5">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147</w:t>
            </w:r>
          </w:p>
        </w:tc>
      </w:tr>
      <w:tr w:rsidR="009A7FC9" w:rsidTr="00C03BC5">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ind w:left="-28"/>
              <w:jc w:val="center"/>
              <w:rPr>
                <w:color w:val="000000"/>
                <w:sz w:val="16"/>
                <w:szCs w:val="16"/>
              </w:rPr>
            </w:pPr>
            <w:r>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Общество с ограниченной ответственностью «РЕМКОМ»</w:t>
            </w:r>
          </w:p>
        </w:tc>
      </w:tr>
      <w:tr w:rsidR="009A7FC9" w:rsidTr="00C03BC5">
        <w:trPr>
          <w:trHeight w:val="708"/>
        </w:trPr>
        <w:tc>
          <w:tcPr>
            <w:tcW w:w="7372" w:type="dxa"/>
            <w:gridSpan w:val="2"/>
            <w:tcBorders>
              <w:top w:val="single" w:sz="4" w:space="0" w:color="auto"/>
              <w:left w:val="single" w:sz="4" w:space="0" w:color="auto"/>
              <w:bottom w:val="single" w:sz="4" w:space="0" w:color="auto"/>
              <w:right w:val="single" w:sz="4" w:space="0" w:color="auto"/>
            </w:tcBorders>
            <w:hideMark/>
          </w:tcPr>
          <w:p w:rsidR="009A7FC9" w:rsidRPr="009A7FC9" w:rsidRDefault="009A7FC9">
            <w:pPr>
              <w:snapToGrid w:val="0"/>
              <w:spacing w:line="276" w:lineRule="auto"/>
              <w:ind w:left="108" w:right="119"/>
              <w:jc w:val="both"/>
              <w:rPr>
                <w:color w:val="000000"/>
                <w:sz w:val="14"/>
                <w:szCs w:val="14"/>
              </w:rPr>
            </w:pPr>
            <w:r w:rsidRPr="009A7FC9">
              <w:rPr>
                <w:color w:val="000000"/>
                <w:sz w:val="14"/>
                <w:szCs w:val="14"/>
              </w:rPr>
              <w:t>1.</w:t>
            </w:r>
            <w:r w:rsidRPr="009A7FC9">
              <w:rPr>
                <w:sz w:val="14"/>
                <w:szCs w:val="14"/>
              </w:rPr>
              <w:t xml:space="preserve">Непроведение ликвидации участника </w:t>
            </w:r>
            <w:r w:rsidRPr="009A7FC9">
              <w:rPr>
                <w:bCs/>
                <w:sz w:val="14"/>
                <w:szCs w:val="14"/>
              </w:rPr>
              <w:t>закупки -</w:t>
            </w:r>
            <w:r w:rsidRPr="009A7FC9">
              <w:rPr>
                <w:sz w:val="14"/>
                <w:szCs w:val="14"/>
              </w:rPr>
              <w:t xml:space="preserve"> юридического лица и отсутствие решения арбитражного суда о признании участника </w:t>
            </w:r>
            <w:r w:rsidRPr="009A7FC9">
              <w:rPr>
                <w:bCs/>
                <w:sz w:val="14"/>
                <w:szCs w:val="14"/>
              </w:rPr>
              <w:t>закупки</w:t>
            </w:r>
            <w:r w:rsidRPr="009A7FC9">
              <w:rPr>
                <w:sz w:val="14"/>
                <w:szCs w:val="14"/>
              </w:rPr>
              <w:t xml:space="preserve"> - юридического лица, индивидуального предпринимателя </w:t>
            </w:r>
            <w:r w:rsidRPr="009A7FC9">
              <w:rPr>
                <w:bCs/>
                <w:sz w:val="14"/>
                <w:szCs w:val="14"/>
              </w:rPr>
              <w:t>несостоятельным (</w:t>
            </w:r>
            <w:r w:rsidRPr="009A7FC9">
              <w:rPr>
                <w:sz w:val="14"/>
                <w:szCs w:val="14"/>
              </w:rPr>
              <w:t>банкротом</w:t>
            </w:r>
            <w:r w:rsidRPr="009A7FC9">
              <w:rPr>
                <w:bCs/>
                <w:sz w:val="14"/>
                <w:szCs w:val="14"/>
              </w:rPr>
              <w:t>)</w:t>
            </w:r>
            <w:r w:rsidRPr="009A7FC9">
              <w:rPr>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 xml:space="preserve">информация </w:t>
            </w:r>
          </w:p>
          <w:p w:rsidR="009A7FC9" w:rsidRDefault="009A7FC9">
            <w:pPr>
              <w:snapToGrid w:val="0"/>
              <w:spacing w:line="276" w:lineRule="auto"/>
              <w:jc w:val="center"/>
              <w:rPr>
                <w:color w:val="000000"/>
                <w:sz w:val="16"/>
                <w:szCs w:val="16"/>
              </w:rPr>
            </w:pPr>
            <w:r>
              <w:rPr>
                <w:color w:val="000000"/>
                <w:sz w:val="16"/>
                <w:szCs w:val="16"/>
              </w:rPr>
              <w:t>продекларирована</w:t>
            </w:r>
          </w:p>
        </w:tc>
      </w:tr>
      <w:tr w:rsidR="009A7FC9" w:rsidTr="00C03BC5">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9A7FC9" w:rsidRPr="009A7FC9" w:rsidRDefault="009A7FC9">
            <w:pPr>
              <w:snapToGrid w:val="0"/>
              <w:spacing w:line="276" w:lineRule="auto"/>
              <w:ind w:left="105" w:right="120"/>
              <w:jc w:val="both"/>
              <w:rPr>
                <w:sz w:val="14"/>
                <w:szCs w:val="14"/>
              </w:rPr>
            </w:pPr>
            <w:r w:rsidRPr="009A7FC9">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 xml:space="preserve">информация </w:t>
            </w:r>
          </w:p>
          <w:p w:rsidR="009A7FC9" w:rsidRDefault="009A7FC9">
            <w:pPr>
              <w:snapToGrid w:val="0"/>
              <w:spacing w:line="276" w:lineRule="auto"/>
              <w:jc w:val="center"/>
              <w:rPr>
                <w:color w:val="000000"/>
                <w:sz w:val="16"/>
                <w:szCs w:val="16"/>
              </w:rPr>
            </w:pPr>
            <w:r>
              <w:rPr>
                <w:color w:val="000000"/>
                <w:sz w:val="16"/>
                <w:szCs w:val="16"/>
              </w:rPr>
              <w:t>продекларирована</w:t>
            </w:r>
          </w:p>
        </w:tc>
      </w:tr>
      <w:tr w:rsidR="009A7FC9" w:rsidTr="00C03BC5">
        <w:tc>
          <w:tcPr>
            <w:tcW w:w="7372" w:type="dxa"/>
            <w:gridSpan w:val="2"/>
            <w:tcBorders>
              <w:top w:val="single" w:sz="4" w:space="0" w:color="auto"/>
              <w:left w:val="single" w:sz="4" w:space="0" w:color="auto"/>
              <w:bottom w:val="single" w:sz="4" w:space="0" w:color="auto"/>
              <w:right w:val="single" w:sz="4" w:space="0" w:color="auto"/>
            </w:tcBorders>
            <w:hideMark/>
          </w:tcPr>
          <w:p w:rsidR="009A7FC9" w:rsidRPr="009A7FC9" w:rsidRDefault="009A7FC9">
            <w:pPr>
              <w:snapToGrid w:val="0"/>
              <w:spacing w:line="276" w:lineRule="auto"/>
              <w:ind w:left="105" w:right="120"/>
              <w:jc w:val="both"/>
              <w:rPr>
                <w:sz w:val="14"/>
                <w:szCs w:val="14"/>
              </w:rPr>
            </w:pPr>
            <w:r w:rsidRPr="009A7FC9">
              <w:rPr>
                <w:sz w:val="14"/>
                <w:szCs w:val="14"/>
              </w:rPr>
              <w:t xml:space="preserve">3. </w:t>
            </w:r>
            <w:proofErr w:type="gramStart"/>
            <w:r w:rsidRPr="009A7FC9">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A7FC9">
              <w:rPr>
                <w:sz w:val="14"/>
                <w:szCs w:val="14"/>
              </w:rPr>
              <w:t xml:space="preserve"> </w:t>
            </w:r>
            <w:proofErr w:type="gramStart"/>
            <w:r w:rsidRPr="009A7FC9">
              <w:rPr>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A7FC9">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7FC9">
              <w:rPr>
                <w:sz w:val="14"/>
                <w:szCs w:val="14"/>
              </w:rPr>
              <w:t>указанных</w:t>
            </w:r>
            <w:proofErr w:type="gramEnd"/>
            <w:r w:rsidRPr="009A7FC9">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 xml:space="preserve">информация </w:t>
            </w:r>
          </w:p>
          <w:p w:rsidR="009A7FC9" w:rsidRDefault="009A7FC9">
            <w:pPr>
              <w:snapToGrid w:val="0"/>
              <w:spacing w:line="276" w:lineRule="auto"/>
              <w:jc w:val="center"/>
              <w:rPr>
                <w:color w:val="000000"/>
                <w:sz w:val="16"/>
                <w:szCs w:val="16"/>
              </w:rPr>
            </w:pPr>
            <w:r>
              <w:rPr>
                <w:color w:val="000000"/>
                <w:sz w:val="16"/>
                <w:szCs w:val="16"/>
              </w:rPr>
              <w:t>продекларирована</w:t>
            </w:r>
          </w:p>
        </w:tc>
      </w:tr>
      <w:tr w:rsidR="009A7FC9" w:rsidTr="00C03BC5">
        <w:tc>
          <w:tcPr>
            <w:tcW w:w="7372" w:type="dxa"/>
            <w:gridSpan w:val="2"/>
            <w:tcBorders>
              <w:top w:val="single" w:sz="4" w:space="0" w:color="auto"/>
              <w:left w:val="single" w:sz="4" w:space="0" w:color="auto"/>
              <w:bottom w:val="single" w:sz="4" w:space="0" w:color="auto"/>
              <w:right w:val="single" w:sz="4" w:space="0" w:color="auto"/>
            </w:tcBorders>
            <w:hideMark/>
          </w:tcPr>
          <w:p w:rsidR="009A7FC9" w:rsidRPr="009A7FC9" w:rsidRDefault="009A7FC9">
            <w:pPr>
              <w:snapToGrid w:val="0"/>
              <w:spacing w:line="276" w:lineRule="auto"/>
              <w:ind w:left="105" w:right="120"/>
              <w:jc w:val="both"/>
              <w:rPr>
                <w:sz w:val="14"/>
                <w:szCs w:val="14"/>
              </w:rPr>
            </w:pPr>
            <w:r w:rsidRPr="009A7FC9">
              <w:rPr>
                <w:color w:val="000000"/>
                <w:sz w:val="14"/>
                <w:szCs w:val="14"/>
              </w:rPr>
              <w:t xml:space="preserve">4. </w:t>
            </w:r>
            <w:proofErr w:type="gramStart"/>
            <w:r w:rsidRPr="009A7FC9">
              <w:rPr>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7FC9">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7FC9" w:rsidRPr="009A7FC9" w:rsidRDefault="009A7FC9">
            <w:pPr>
              <w:snapToGrid w:val="0"/>
              <w:spacing w:line="276" w:lineRule="auto"/>
              <w:ind w:left="105" w:right="120"/>
              <w:jc w:val="both"/>
              <w:rPr>
                <w:color w:val="000000"/>
                <w:sz w:val="14"/>
                <w:szCs w:val="14"/>
              </w:rPr>
            </w:pPr>
            <w:r w:rsidRPr="009A7FC9">
              <w:rPr>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 xml:space="preserve">информация </w:t>
            </w:r>
          </w:p>
          <w:p w:rsidR="009A7FC9" w:rsidRDefault="009A7FC9">
            <w:pPr>
              <w:snapToGrid w:val="0"/>
              <w:spacing w:line="276" w:lineRule="auto"/>
              <w:jc w:val="center"/>
              <w:rPr>
                <w:color w:val="000000"/>
                <w:sz w:val="16"/>
                <w:szCs w:val="16"/>
              </w:rPr>
            </w:pPr>
            <w:r>
              <w:rPr>
                <w:color w:val="000000"/>
                <w:sz w:val="16"/>
                <w:szCs w:val="16"/>
              </w:rPr>
              <w:t>продекларирована</w:t>
            </w:r>
          </w:p>
        </w:tc>
      </w:tr>
      <w:tr w:rsidR="009A7FC9" w:rsidTr="00C03BC5">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9A7FC9" w:rsidRPr="009A7FC9" w:rsidRDefault="009A7FC9">
            <w:pPr>
              <w:snapToGrid w:val="0"/>
              <w:spacing w:line="276" w:lineRule="auto"/>
              <w:ind w:left="105" w:right="120"/>
              <w:jc w:val="both"/>
              <w:rPr>
                <w:sz w:val="14"/>
                <w:szCs w:val="14"/>
              </w:rPr>
            </w:pPr>
            <w:r w:rsidRPr="009A7FC9">
              <w:rPr>
                <w:sz w:val="14"/>
                <w:szCs w:val="14"/>
              </w:rPr>
              <w:t xml:space="preserve">5. </w:t>
            </w:r>
            <w:proofErr w:type="gramStart"/>
            <w:r w:rsidRPr="009A7FC9">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A7FC9">
              <w:rPr>
                <w:sz w:val="14"/>
                <w:szCs w:val="14"/>
              </w:rPr>
              <w:t xml:space="preserve"> </w:t>
            </w:r>
            <w:proofErr w:type="gramStart"/>
            <w:r w:rsidRPr="009A7FC9">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A7FC9">
              <w:rPr>
                <w:sz w:val="14"/>
                <w:szCs w:val="14"/>
              </w:rPr>
              <w:t>неполнородными</w:t>
            </w:r>
            <w:proofErr w:type="spellEnd"/>
            <w:r w:rsidRPr="009A7FC9">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9A7FC9">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 xml:space="preserve">информация </w:t>
            </w:r>
          </w:p>
          <w:p w:rsidR="009A7FC9" w:rsidRDefault="009A7FC9">
            <w:pPr>
              <w:snapToGrid w:val="0"/>
              <w:spacing w:line="276" w:lineRule="auto"/>
              <w:jc w:val="center"/>
              <w:rPr>
                <w:color w:val="000000"/>
                <w:sz w:val="16"/>
                <w:szCs w:val="16"/>
              </w:rPr>
            </w:pPr>
            <w:r>
              <w:rPr>
                <w:color w:val="000000"/>
                <w:sz w:val="16"/>
                <w:szCs w:val="16"/>
              </w:rPr>
              <w:t>продекларирована</w:t>
            </w:r>
          </w:p>
        </w:tc>
      </w:tr>
      <w:tr w:rsidR="009A7FC9" w:rsidTr="00C03BC5">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9A7FC9" w:rsidRPr="009A7FC9" w:rsidRDefault="009A7FC9">
            <w:pPr>
              <w:snapToGrid w:val="0"/>
              <w:spacing w:line="276" w:lineRule="auto"/>
              <w:ind w:left="105" w:right="120"/>
              <w:jc w:val="both"/>
              <w:rPr>
                <w:color w:val="000000"/>
                <w:sz w:val="14"/>
                <w:szCs w:val="14"/>
              </w:rPr>
            </w:pPr>
            <w:r w:rsidRPr="009A7FC9">
              <w:rPr>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pacing w:line="276" w:lineRule="auto"/>
              <w:jc w:val="center"/>
              <w:rPr>
                <w:sz w:val="16"/>
                <w:szCs w:val="16"/>
              </w:rPr>
            </w:pPr>
            <w:r>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pacing w:line="276" w:lineRule="auto"/>
              <w:jc w:val="center"/>
              <w:rPr>
                <w:sz w:val="16"/>
                <w:szCs w:val="16"/>
                <w:highlight w:val="yellow"/>
              </w:rPr>
            </w:pPr>
            <w:r>
              <w:rPr>
                <w:color w:val="000000"/>
                <w:sz w:val="16"/>
                <w:szCs w:val="16"/>
              </w:rPr>
              <w:t>Информация отсутствует</w:t>
            </w:r>
          </w:p>
        </w:tc>
      </w:tr>
      <w:tr w:rsidR="009A7FC9" w:rsidTr="00C03BC5">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spacing w:line="276" w:lineRule="auto"/>
              <w:ind w:left="105" w:right="120"/>
              <w:jc w:val="both"/>
              <w:rPr>
                <w:color w:val="000000"/>
                <w:sz w:val="16"/>
                <w:szCs w:val="16"/>
              </w:rPr>
            </w:pPr>
            <w:r>
              <w:rPr>
                <w:color w:val="000000"/>
                <w:sz w:val="16"/>
                <w:szCs w:val="16"/>
              </w:rPr>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8"/>
                <w:szCs w:val="18"/>
              </w:rPr>
            </w:pPr>
            <w:r>
              <w:rPr>
                <w:color w:val="000000"/>
                <w:sz w:val="18"/>
                <w:szCs w:val="18"/>
              </w:rPr>
              <w:t>Не принадлежит</w:t>
            </w:r>
          </w:p>
        </w:tc>
      </w:tr>
      <w:tr w:rsidR="009A7FC9" w:rsidTr="00C03BC5">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spacing w:line="276" w:lineRule="auto"/>
              <w:ind w:left="105" w:right="120"/>
              <w:jc w:val="both"/>
              <w:rPr>
                <w:color w:val="000000"/>
                <w:sz w:val="16"/>
                <w:szCs w:val="16"/>
              </w:rPr>
            </w:pPr>
            <w:r>
              <w:rPr>
                <w:color w:val="000000"/>
                <w:sz w:val="16"/>
                <w:szCs w:val="16"/>
              </w:rPr>
              <w:t>8.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9A7FC9" w:rsidRDefault="009A7FC9">
            <w:pPr>
              <w:snapToGrid w:val="0"/>
              <w:spacing w:line="276" w:lineRule="auto"/>
              <w:ind w:left="110" w:right="110"/>
              <w:jc w:val="center"/>
              <w:rPr>
                <w:color w:val="000000"/>
                <w:sz w:val="16"/>
                <w:szCs w:val="16"/>
              </w:rPr>
            </w:pPr>
            <w:r>
              <w:rPr>
                <w:color w:val="000000"/>
                <w:sz w:val="16"/>
                <w:szCs w:val="16"/>
              </w:rPr>
              <w:t>В полном объеме</w:t>
            </w:r>
          </w:p>
        </w:tc>
      </w:tr>
      <w:tr w:rsidR="009A7FC9" w:rsidTr="00C03BC5">
        <w:tc>
          <w:tcPr>
            <w:tcW w:w="7372"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spacing w:line="276" w:lineRule="auto"/>
              <w:ind w:left="105" w:right="120"/>
              <w:rPr>
                <w:color w:val="000000"/>
                <w:sz w:val="16"/>
                <w:szCs w:val="16"/>
              </w:rPr>
            </w:pPr>
            <w:r>
              <w:rPr>
                <w:color w:val="000000"/>
                <w:sz w:val="16"/>
                <w:szCs w:val="16"/>
              </w:rPr>
              <w:t xml:space="preserve">9. Начальная (максимальная) цена контракта – </w:t>
            </w:r>
            <w:r>
              <w:rPr>
                <w:b/>
                <w:color w:val="000000"/>
                <w:sz w:val="16"/>
                <w:szCs w:val="16"/>
              </w:rPr>
              <w:t>1 857 801,00</w:t>
            </w:r>
            <w:r>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9A7FC9" w:rsidRDefault="009A7FC9">
            <w:pPr>
              <w:widowControl/>
              <w:rPr>
                <w:rFonts w:ascii="Calibri" w:eastAsia="Calibri" w:hAnsi="Calibri"/>
              </w:rPr>
            </w:pP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snapToGrid w:val="0"/>
              <w:spacing w:line="276" w:lineRule="auto"/>
              <w:ind w:left="105" w:right="120"/>
              <w:rPr>
                <w:color w:val="000000"/>
                <w:sz w:val="16"/>
                <w:szCs w:val="16"/>
              </w:rPr>
            </w:pPr>
            <w:r>
              <w:rPr>
                <w:sz w:val="16"/>
                <w:szCs w:val="16"/>
              </w:rPr>
              <w:t>10. Наименование показателя</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spacing w:line="276" w:lineRule="auto"/>
              <w:jc w:val="center"/>
              <w:rPr>
                <w:color w:val="000000"/>
                <w:sz w:val="16"/>
                <w:szCs w:val="16"/>
              </w:rPr>
            </w:pPr>
            <w:r>
              <w:rPr>
                <w:color w:val="000000"/>
                <w:sz w:val="16"/>
                <w:szCs w:val="16"/>
              </w:rPr>
              <w:t>ООО «РЕМКОМ»</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Местоположение дома (адрес)</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center"/>
              <w:rPr>
                <w:sz w:val="16"/>
                <w:szCs w:val="16"/>
              </w:rPr>
            </w:pPr>
            <w:r>
              <w:rPr>
                <w:sz w:val="16"/>
                <w:szCs w:val="16"/>
              </w:rPr>
              <w:t>город Югорск,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jc w:val="center"/>
              <w:rPr>
                <w:sz w:val="16"/>
                <w:szCs w:val="16"/>
              </w:rPr>
            </w:pPr>
            <w:r>
              <w:rPr>
                <w:b/>
                <w:sz w:val="16"/>
                <w:szCs w:val="16"/>
              </w:rPr>
              <w:t>Квартира №13, ул. Спортивная, д.37</w:t>
            </w:r>
            <w:r>
              <w:rPr>
                <w:sz w:val="16"/>
                <w:szCs w:val="16"/>
              </w:rPr>
              <w:t>, город Югорск, Ханты-Мансийский автономный округ – Югра, Тюменская область.</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Иное описание (местоположение)</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jc w:val="center"/>
              <w:rPr>
                <w:sz w:val="16"/>
                <w:szCs w:val="16"/>
              </w:rPr>
            </w:pPr>
            <w:r>
              <w:rPr>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Тип конструкции жилого дома</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jc w:val="center"/>
              <w:rPr>
                <w:sz w:val="16"/>
                <w:szCs w:val="16"/>
              </w:rPr>
            </w:pPr>
            <w:r>
              <w:rPr>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Требования к многоквартирному дому</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360"/>
              </w:tabs>
              <w:ind w:firstLine="283"/>
              <w:rPr>
                <w:sz w:val="16"/>
                <w:szCs w:val="16"/>
              </w:rPr>
            </w:pPr>
            <w:r>
              <w:rPr>
                <w:sz w:val="16"/>
                <w:szCs w:val="16"/>
              </w:rPr>
              <w:t xml:space="preserve">Многоквартирный жилой дом не должен быть признан аварийным и подлежащим сносу или реконструкции в порядке, </w:t>
            </w:r>
            <w:r>
              <w:rPr>
                <w:sz w:val="16"/>
                <w:szCs w:val="16"/>
              </w:rPr>
              <w:lastRenderedPageBreak/>
              <w:t>установленном действующем законодательством Российской Федерации.</w:t>
            </w:r>
          </w:p>
          <w:p w:rsidR="009A7FC9" w:rsidRDefault="009A7FC9">
            <w:pPr>
              <w:tabs>
                <w:tab w:val="left" w:pos="7275"/>
              </w:tabs>
              <w:snapToGrid w:val="0"/>
              <w:ind w:left="187" w:right="141" w:firstLine="283"/>
              <w:rPr>
                <w:sz w:val="16"/>
                <w:szCs w:val="16"/>
              </w:rPr>
            </w:pPr>
            <w:r>
              <w:rPr>
                <w:sz w:val="16"/>
                <w:szCs w:val="16"/>
              </w:rPr>
              <w:t>Допускается наличие (в исправном, безопасном для эксплуатации состоянии): балкона, лоджии.</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jc w:val="center"/>
              <w:rPr>
                <w:sz w:val="16"/>
                <w:szCs w:val="16"/>
              </w:rPr>
            </w:pPr>
            <w:r>
              <w:rPr>
                <w:sz w:val="16"/>
                <w:szCs w:val="16"/>
              </w:rPr>
              <w:lastRenderedPageBreak/>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lastRenderedPageBreak/>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pStyle w:val="a8"/>
              <w:ind w:left="35" w:right="63" w:firstLine="390"/>
              <w:jc w:val="both"/>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jc w:val="center"/>
              <w:rPr>
                <w:color w:val="000000"/>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Требование к приобретаемому жилому помещению</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autoSpaceDN w:val="0"/>
              <w:adjustRightInd w:val="0"/>
              <w:ind w:firstLine="425"/>
              <w:rPr>
                <w:sz w:val="16"/>
                <w:szCs w:val="16"/>
              </w:rPr>
            </w:pPr>
            <w:r>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Требования к уровню благоустроенности жилого помещения</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35" w:right="141"/>
              <w:jc w:val="both"/>
              <w:rPr>
                <w:color w:val="000000"/>
                <w:sz w:val="16"/>
                <w:szCs w:val="16"/>
              </w:rPr>
            </w:pPr>
            <w:r>
              <w:rPr>
                <w:color w:val="000000"/>
                <w:sz w:val="16"/>
                <w:szCs w:val="16"/>
              </w:rPr>
              <w:t xml:space="preserve">Жилое помещение </w:t>
            </w:r>
            <w:r>
              <w:rPr>
                <w:b/>
                <w:color w:val="000000"/>
                <w:sz w:val="16"/>
                <w:szCs w:val="16"/>
              </w:rPr>
              <w:t>должно быть</w:t>
            </w:r>
            <w:r>
              <w:rPr>
                <w:color w:val="000000"/>
                <w:sz w:val="16"/>
                <w:szCs w:val="16"/>
              </w:rPr>
              <w:t xml:space="preserve"> благоустроенное,</w:t>
            </w:r>
            <w:r>
              <w:rPr>
                <w:sz w:val="16"/>
                <w:szCs w:val="16"/>
              </w:rPr>
              <w:t xml:space="preserve"> пригодное для постоянного проживания, не требующее текущего ремонта</w:t>
            </w:r>
            <w:r>
              <w:rPr>
                <w:color w:val="000000"/>
                <w:sz w:val="16"/>
                <w:szCs w:val="16"/>
              </w:rPr>
              <w:t xml:space="preserve"> и оборудовано: </w:t>
            </w:r>
          </w:p>
          <w:p w:rsidR="009A7FC9" w:rsidRDefault="009A7FC9">
            <w:pPr>
              <w:tabs>
                <w:tab w:val="left" w:pos="7275"/>
              </w:tabs>
              <w:snapToGrid w:val="0"/>
              <w:ind w:left="35" w:right="141"/>
              <w:jc w:val="both"/>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9A7FC9" w:rsidRDefault="009A7FC9">
            <w:pPr>
              <w:tabs>
                <w:tab w:val="left" w:pos="7275"/>
              </w:tabs>
              <w:snapToGrid w:val="0"/>
              <w:ind w:left="35" w:right="141"/>
              <w:jc w:val="both"/>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9A7FC9" w:rsidRDefault="009A7FC9">
            <w:pPr>
              <w:tabs>
                <w:tab w:val="left" w:pos="7275"/>
              </w:tabs>
              <w:snapToGrid w:val="0"/>
              <w:ind w:left="35" w:right="141"/>
              <w:jc w:val="both"/>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9A7FC9" w:rsidRDefault="009A7FC9">
            <w:pPr>
              <w:tabs>
                <w:tab w:val="left" w:pos="7275"/>
              </w:tabs>
              <w:snapToGrid w:val="0"/>
              <w:ind w:left="35" w:right="141"/>
              <w:jc w:val="both"/>
              <w:rPr>
                <w:color w:val="000000"/>
                <w:sz w:val="16"/>
                <w:szCs w:val="16"/>
              </w:rPr>
            </w:pPr>
            <w:r>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9A7FC9" w:rsidRDefault="009A7FC9">
            <w:pPr>
              <w:tabs>
                <w:tab w:val="left" w:pos="7275"/>
              </w:tabs>
              <w:snapToGrid w:val="0"/>
              <w:ind w:left="35" w:right="141"/>
              <w:jc w:val="both"/>
              <w:rPr>
                <w:color w:val="000000"/>
                <w:sz w:val="16"/>
                <w:szCs w:val="16"/>
              </w:rPr>
            </w:pPr>
            <w:r>
              <w:rPr>
                <w:color w:val="000000"/>
                <w:sz w:val="16"/>
                <w:szCs w:val="16"/>
              </w:rPr>
              <w:t>- центральным водопроводом, горячим водоснабжением;</w:t>
            </w:r>
          </w:p>
          <w:p w:rsidR="009A7FC9" w:rsidRDefault="009A7FC9">
            <w:pPr>
              <w:tabs>
                <w:tab w:val="left" w:pos="7275"/>
              </w:tabs>
              <w:snapToGrid w:val="0"/>
              <w:ind w:left="35" w:right="141"/>
              <w:jc w:val="both"/>
              <w:rPr>
                <w:color w:val="000000"/>
                <w:sz w:val="16"/>
                <w:szCs w:val="16"/>
              </w:rPr>
            </w:pPr>
            <w:r>
              <w:rPr>
                <w:color w:val="000000"/>
                <w:sz w:val="16"/>
                <w:szCs w:val="16"/>
              </w:rPr>
              <w:t>- центральным водоотведением (канализацией);</w:t>
            </w:r>
          </w:p>
          <w:p w:rsidR="009A7FC9" w:rsidRDefault="009A7FC9">
            <w:pPr>
              <w:tabs>
                <w:tab w:val="left" w:pos="7275"/>
              </w:tabs>
              <w:snapToGrid w:val="0"/>
              <w:ind w:left="35" w:right="141"/>
              <w:jc w:val="both"/>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9A7FC9" w:rsidRDefault="009A7FC9">
            <w:pPr>
              <w:tabs>
                <w:tab w:val="left" w:pos="7275"/>
              </w:tabs>
              <w:snapToGrid w:val="0"/>
              <w:ind w:left="35" w:right="141"/>
              <w:jc w:val="both"/>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9A7FC9" w:rsidRDefault="009A7FC9">
            <w:pPr>
              <w:tabs>
                <w:tab w:val="left" w:pos="7275"/>
              </w:tabs>
              <w:snapToGrid w:val="0"/>
              <w:ind w:left="35" w:right="141"/>
              <w:jc w:val="both"/>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9A7FC9" w:rsidRDefault="009A7FC9">
            <w:pPr>
              <w:tabs>
                <w:tab w:val="left" w:pos="7275"/>
              </w:tabs>
              <w:snapToGrid w:val="0"/>
              <w:ind w:left="35" w:right="141"/>
              <w:jc w:val="both"/>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9A7FC9" w:rsidRDefault="009A7FC9">
            <w:pPr>
              <w:tabs>
                <w:tab w:val="left" w:pos="7275"/>
              </w:tabs>
              <w:snapToGrid w:val="0"/>
              <w:ind w:left="35" w:right="141"/>
              <w:jc w:val="both"/>
              <w:rPr>
                <w:color w:val="000000"/>
                <w:sz w:val="16"/>
                <w:szCs w:val="16"/>
              </w:rPr>
            </w:pPr>
            <w:r>
              <w:rPr>
                <w:color w:val="000000"/>
                <w:sz w:val="16"/>
                <w:szCs w:val="16"/>
              </w:rPr>
              <w:t>- чистовой отделкой стен и потолков без механических повреждений,</w:t>
            </w:r>
          </w:p>
          <w:p w:rsidR="009A7FC9" w:rsidRDefault="009A7FC9">
            <w:pPr>
              <w:tabs>
                <w:tab w:val="left" w:pos="7275"/>
              </w:tabs>
              <w:snapToGrid w:val="0"/>
              <w:ind w:left="35" w:right="141"/>
              <w:jc w:val="both"/>
              <w:rPr>
                <w:color w:val="000000"/>
                <w:sz w:val="18"/>
                <w:szCs w:val="18"/>
              </w:rPr>
            </w:pPr>
            <w:r>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jc w:val="center"/>
              <w:rPr>
                <w:color w:val="000000"/>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Требования к условиям проживания в жилом помещении</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both"/>
              <w:rPr>
                <w:color w:val="000000"/>
                <w:sz w:val="16"/>
                <w:szCs w:val="16"/>
              </w:rPr>
            </w:pPr>
            <w:r>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ind w:right="284"/>
              <w:jc w:val="center"/>
              <w:rPr>
                <w:color w:val="000000"/>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 xml:space="preserve">Гарантийный срок  </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both"/>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 xml:space="preserve">Количество жилых помещений </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center"/>
              <w:rPr>
                <w:color w:val="000000"/>
                <w:sz w:val="16"/>
                <w:szCs w:val="16"/>
              </w:rPr>
            </w:pPr>
            <w:r>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ind w:right="284"/>
              <w:jc w:val="center"/>
              <w:rPr>
                <w:color w:val="000000"/>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rPr>
              <w:t>Состав жилого помещения</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center"/>
              <w:rPr>
                <w:color w:val="000000"/>
                <w:sz w:val="16"/>
                <w:szCs w:val="16"/>
              </w:rPr>
            </w:pPr>
            <w:r>
              <w:rPr>
                <w:color w:val="000000"/>
                <w:sz w:val="16"/>
                <w:szCs w:val="16"/>
              </w:rPr>
              <w:t xml:space="preserve">В состав жилого помещения должны входить: не менее </w:t>
            </w:r>
            <w:r>
              <w:rPr>
                <w:b/>
                <w:color w:val="000000"/>
                <w:sz w:val="16"/>
                <w:szCs w:val="16"/>
              </w:rPr>
              <w:t>одной</w:t>
            </w:r>
            <w:r>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ind w:right="284"/>
              <w:jc w:val="center"/>
              <w:rPr>
                <w:color w:val="000000"/>
                <w:sz w:val="16"/>
                <w:szCs w:val="16"/>
              </w:rPr>
            </w:pPr>
            <w:r>
              <w:rPr>
                <w:color w:val="000000"/>
                <w:sz w:val="16"/>
                <w:szCs w:val="16"/>
              </w:rPr>
              <w:t>Соответствует</w:t>
            </w:r>
          </w:p>
        </w:tc>
      </w:tr>
      <w:tr w:rsidR="009A7FC9" w:rsidTr="00C03BC5">
        <w:tc>
          <w:tcPr>
            <w:tcW w:w="2631" w:type="dxa"/>
            <w:tcBorders>
              <w:top w:val="single" w:sz="4" w:space="0" w:color="auto"/>
              <w:left w:val="single" w:sz="4" w:space="0" w:color="auto"/>
              <w:bottom w:val="single" w:sz="4" w:space="0" w:color="auto"/>
              <w:right w:val="single" w:sz="4" w:space="0" w:color="auto"/>
            </w:tcBorders>
            <w:hideMark/>
          </w:tcPr>
          <w:p w:rsidR="009A7FC9" w:rsidRDefault="009A7FC9">
            <w:pPr>
              <w:autoSpaceDE w:val="0"/>
              <w:snapToGrid w:val="0"/>
              <w:jc w:val="center"/>
              <w:rPr>
                <w:b/>
                <w:sz w:val="16"/>
                <w:szCs w:val="16"/>
              </w:rPr>
            </w:pPr>
            <w:r>
              <w:rPr>
                <w:b/>
                <w:sz w:val="16"/>
                <w:szCs w:val="16"/>
                <w:lang w:eastAsia="en-US"/>
              </w:rPr>
              <w:t>Общая площадь жилого помещения*</w:t>
            </w:r>
          </w:p>
        </w:tc>
        <w:tc>
          <w:tcPr>
            <w:tcW w:w="4741" w:type="dxa"/>
            <w:tcBorders>
              <w:top w:val="single" w:sz="4" w:space="0" w:color="auto"/>
              <w:left w:val="single" w:sz="4" w:space="0" w:color="auto"/>
              <w:bottom w:val="single" w:sz="4" w:space="0" w:color="auto"/>
              <w:right w:val="single" w:sz="4" w:space="0" w:color="auto"/>
            </w:tcBorders>
            <w:hideMark/>
          </w:tcPr>
          <w:p w:rsidR="009A7FC9" w:rsidRDefault="009A7FC9">
            <w:pPr>
              <w:tabs>
                <w:tab w:val="left" w:pos="7275"/>
              </w:tabs>
              <w:snapToGrid w:val="0"/>
              <w:ind w:left="187" w:right="141"/>
              <w:jc w:val="center"/>
              <w:rPr>
                <w:color w:val="000000"/>
                <w:sz w:val="16"/>
                <w:szCs w:val="16"/>
              </w:rPr>
            </w:pPr>
            <w:r>
              <w:rPr>
                <w:color w:val="000000"/>
                <w:sz w:val="16"/>
                <w:szCs w:val="16"/>
              </w:rPr>
              <w:t xml:space="preserve">Не менее </w:t>
            </w:r>
            <w:r>
              <w:rPr>
                <w:b/>
                <w:color w:val="000000"/>
                <w:sz w:val="16"/>
                <w:szCs w:val="16"/>
              </w:rPr>
              <w:t>33,0</w:t>
            </w:r>
            <w:r>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hideMark/>
          </w:tcPr>
          <w:p w:rsidR="009A7FC9" w:rsidRDefault="009A7FC9">
            <w:pPr>
              <w:snapToGrid w:val="0"/>
              <w:ind w:right="284"/>
              <w:jc w:val="center"/>
              <w:rPr>
                <w:color w:val="000000"/>
                <w:sz w:val="16"/>
                <w:szCs w:val="16"/>
              </w:rPr>
            </w:pPr>
            <w:r>
              <w:rPr>
                <w:b/>
                <w:color w:val="000000"/>
                <w:sz w:val="16"/>
                <w:szCs w:val="16"/>
              </w:rPr>
              <w:t>39,0</w:t>
            </w:r>
            <w:r>
              <w:rPr>
                <w:color w:val="000000"/>
                <w:sz w:val="16"/>
                <w:szCs w:val="16"/>
              </w:rPr>
              <w:t xml:space="preserve"> кв. метра (за исключением балконов, лоджий)</w:t>
            </w:r>
          </w:p>
        </w:tc>
      </w:tr>
    </w:tbl>
    <w:p w:rsidR="002C75E3" w:rsidRDefault="002C75E3" w:rsidP="00004FC5">
      <w:bookmarkStart w:id="0" w:name="_GoBack"/>
      <w:bookmarkEnd w:id="0"/>
    </w:p>
    <w:sectPr w:rsidR="002C75E3" w:rsidSect="00C03BC5">
      <w:pgSz w:w="11906" w:h="16838"/>
      <w:pgMar w:top="709"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3A"/>
    <w:rsid w:val="00004FC5"/>
    <w:rsid w:val="002A373A"/>
    <w:rsid w:val="002C75E3"/>
    <w:rsid w:val="006C045A"/>
    <w:rsid w:val="009A7FC9"/>
    <w:rsid w:val="00C0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C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04FC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04FC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04FC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04FC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004FC5"/>
    <w:rPr>
      <w:rFonts w:ascii="Times New Roman" w:eastAsia="Times New Roman" w:hAnsi="Times New Roman" w:cs="Times New Roman"/>
    </w:rPr>
  </w:style>
  <w:style w:type="paragraph" w:styleId="a7">
    <w:name w:val="List Paragraph"/>
    <w:basedOn w:val="a"/>
    <w:link w:val="a6"/>
    <w:uiPriority w:val="99"/>
    <w:qFormat/>
    <w:rsid w:val="00004FC5"/>
    <w:pPr>
      <w:ind w:left="720"/>
      <w:contextualSpacing/>
    </w:pPr>
    <w:rPr>
      <w:sz w:val="22"/>
      <w:szCs w:val="22"/>
      <w:lang w:eastAsia="en-US"/>
    </w:rPr>
  </w:style>
  <w:style w:type="paragraph" w:customStyle="1" w:styleId="a8">
    <w:name w:val="Прижатый влево"/>
    <w:basedOn w:val="a"/>
    <w:next w:val="a"/>
    <w:uiPriority w:val="99"/>
    <w:rsid w:val="009A7FC9"/>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C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04FC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04FC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04FC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04FC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004FC5"/>
    <w:rPr>
      <w:rFonts w:ascii="Times New Roman" w:eastAsia="Times New Roman" w:hAnsi="Times New Roman" w:cs="Times New Roman"/>
    </w:rPr>
  </w:style>
  <w:style w:type="paragraph" w:styleId="a7">
    <w:name w:val="List Paragraph"/>
    <w:basedOn w:val="a"/>
    <w:link w:val="a6"/>
    <w:uiPriority w:val="99"/>
    <w:qFormat/>
    <w:rsid w:val="00004FC5"/>
    <w:pPr>
      <w:ind w:left="720"/>
      <w:contextualSpacing/>
    </w:pPr>
    <w:rPr>
      <w:sz w:val="22"/>
      <w:szCs w:val="22"/>
      <w:lang w:eastAsia="en-US"/>
    </w:rPr>
  </w:style>
  <w:style w:type="paragraph" w:customStyle="1" w:styleId="a8">
    <w:name w:val="Прижатый влево"/>
    <w:basedOn w:val="a"/>
    <w:next w:val="a"/>
    <w:uiPriority w:val="99"/>
    <w:rsid w:val="009A7FC9"/>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42564">
      <w:bodyDiv w:val="1"/>
      <w:marLeft w:val="0"/>
      <w:marRight w:val="0"/>
      <w:marTop w:val="0"/>
      <w:marBottom w:val="0"/>
      <w:divBdr>
        <w:top w:val="none" w:sz="0" w:space="0" w:color="auto"/>
        <w:left w:val="none" w:sz="0" w:space="0" w:color="auto"/>
        <w:bottom w:val="none" w:sz="0" w:space="0" w:color="auto"/>
        <w:right w:val="none" w:sz="0" w:space="0" w:color="auto"/>
      </w:divBdr>
    </w:div>
    <w:div w:id="1400598357">
      <w:bodyDiv w:val="1"/>
      <w:marLeft w:val="0"/>
      <w:marRight w:val="0"/>
      <w:marTop w:val="0"/>
      <w:marBottom w:val="0"/>
      <w:divBdr>
        <w:top w:val="none" w:sz="0" w:space="0" w:color="auto"/>
        <w:left w:val="none" w:sz="0" w:space="0" w:color="auto"/>
        <w:bottom w:val="none" w:sz="0" w:space="0" w:color="auto"/>
        <w:right w:val="none" w:sz="0" w:space="0" w:color="auto"/>
      </w:divBdr>
    </w:div>
    <w:div w:id="14513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2397</Words>
  <Characters>13666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2020-11-30T09:46:00Z</cp:lastPrinted>
  <dcterms:created xsi:type="dcterms:W3CDTF">2020-11-24T09:00:00Z</dcterms:created>
  <dcterms:modified xsi:type="dcterms:W3CDTF">2020-11-30T09:50:00Z</dcterms:modified>
</cp:coreProperties>
</file>