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D31D4F" w:rsidP="00067A1D">
            <w:pPr>
              <w:tabs>
                <w:tab w:val="num" w:pos="142"/>
              </w:tabs>
              <w:autoSpaceDE w:val="0"/>
              <w:autoSpaceDN w:val="0"/>
              <w:adjustRightInd w:val="0"/>
              <w:spacing w:line="276" w:lineRule="auto"/>
              <w:jc w:val="center"/>
              <w:rPr>
                <w:lang w:eastAsia="en-US"/>
              </w:rPr>
            </w:pPr>
            <w:r>
              <w:rPr>
                <w:lang w:eastAsia="en-US"/>
              </w:rPr>
              <w:t xml:space="preserve">Не менее </w:t>
            </w:r>
            <w:r w:rsidR="00B11789">
              <w:rPr>
                <w:lang w:eastAsia="en-US"/>
              </w:rPr>
              <w:t>1</w:t>
            </w:r>
            <w:r w:rsidR="0019666E">
              <w:rPr>
                <w:lang w:eastAsia="en-US"/>
              </w:rPr>
              <w:t>7</w:t>
            </w:r>
            <w:r w:rsidR="00067A1D">
              <w:rPr>
                <w:lang w:eastAsia="en-US"/>
              </w:rPr>
              <w:t>5,0</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19666E" w:rsidP="00067A1D">
            <w:pPr>
              <w:spacing w:line="276" w:lineRule="auto"/>
              <w:ind w:right="176" w:firstLine="705"/>
              <w:jc w:val="center"/>
              <w:rPr>
                <w:b/>
                <w:lang w:eastAsia="en-US"/>
              </w:rPr>
            </w:pPr>
            <w:r>
              <w:rPr>
                <w:bCs/>
                <w:lang w:eastAsia="en-US"/>
              </w:rPr>
              <w:t>9</w:t>
            </w:r>
            <w:r w:rsidR="00067A1D">
              <w:rPr>
                <w:bCs/>
                <w:lang w:eastAsia="en-US"/>
              </w:rPr>
              <w:t> </w:t>
            </w:r>
            <w:r>
              <w:rPr>
                <w:bCs/>
                <w:lang w:eastAsia="en-US"/>
              </w:rPr>
              <w:t>2</w:t>
            </w:r>
            <w:r w:rsidR="00067A1D">
              <w:rPr>
                <w:bCs/>
                <w:lang w:eastAsia="en-US"/>
              </w:rPr>
              <w:t>60 300,00</w:t>
            </w:r>
            <w:r w:rsidR="00B11789">
              <w:rPr>
                <w:bCs/>
                <w:lang w:eastAsia="en-US"/>
              </w:rPr>
              <w:t>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3F1188">
        <w:t xml:space="preserve">Застройщик обязан не позднее </w:t>
      </w:r>
      <w:r w:rsidR="00B11789">
        <w:t>1 квартала 2016 года</w:t>
      </w:r>
      <w:r w:rsidR="00B11789" w:rsidRPr="00995F49">
        <w:t xml:space="preserve"> ввести в эксплуатацию Объект и передать Объекты долевого строительства в собственность Муниц</w:t>
      </w:r>
      <w:r w:rsidR="00B11789">
        <w:t>ипального заказчика не позднее 2 квартала 2016 года</w:t>
      </w:r>
      <w:r>
        <w:t>.</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B11789" w:rsidRDefault="00473929" w:rsidP="00B11789">
      <w:pPr>
        <w:numPr>
          <w:ilvl w:val="0"/>
          <w:numId w:val="8"/>
        </w:numPr>
        <w:tabs>
          <w:tab w:val="num" w:pos="0"/>
        </w:tabs>
        <w:autoSpaceDE w:val="0"/>
        <w:autoSpaceDN w:val="0"/>
        <w:adjustRightInd w:val="0"/>
        <w:spacing w:after="0"/>
        <w:ind w:left="0" w:firstLine="709"/>
      </w:pPr>
      <w:r>
        <w:t xml:space="preserve">Условия оплаты: </w:t>
      </w:r>
      <w:r w:rsidR="00B11789">
        <w:t xml:space="preserve">Оплату Муниципальный заказчик производит путем перечисления денежных </w:t>
      </w:r>
      <w:proofErr w:type="gramStart"/>
      <w:r w:rsidR="00B11789">
        <w:t>средств</w:t>
      </w:r>
      <w:proofErr w:type="gramEnd"/>
      <w:r w:rsidR="00B11789">
        <w:t xml:space="preserve"> на расчетный счет Застройщика следующим образом:</w:t>
      </w:r>
    </w:p>
    <w:p w:rsidR="00B11789" w:rsidRDefault="00B11789" w:rsidP="00B11789">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B11789" w:rsidRDefault="00B11789" w:rsidP="00B11789">
      <w:pPr>
        <w:autoSpaceDE w:val="0"/>
        <w:autoSpaceDN w:val="0"/>
        <w:adjustRightInd w:val="0"/>
        <w:spacing w:after="0"/>
        <w:ind w:firstLine="709"/>
      </w:pPr>
      <w:r>
        <w:t>- оставшуюся сумму выплачивает частями:</w:t>
      </w:r>
    </w:p>
    <w:p w:rsidR="00B11789" w:rsidRDefault="00B11789" w:rsidP="00B11789">
      <w:pPr>
        <w:autoSpaceDE w:val="0"/>
        <w:autoSpaceDN w:val="0"/>
        <w:adjustRightInd w:val="0"/>
        <w:spacing w:after="0"/>
        <w:ind w:firstLine="709"/>
      </w:pPr>
      <w:r>
        <w:t>при достижении 80%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lastRenderedPageBreak/>
        <w:t>при достижении 90% степени строительной готовности Объекта – 40%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B11789" w:rsidRDefault="00B11789" w:rsidP="00B11789">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B11789">
      <w:pPr>
        <w:numPr>
          <w:ilvl w:val="0"/>
          <w:numId w:val="8"/>
        </w:numPr>
        <w:tabs>
          <w:tab w:val="num" w:pos="0"/>
        </w:tabs>
        <w:autoSpaceDE w:val="0"/>
        <w:autoSpaceDN w:val="0"/>
        <w:adjustRightInd w:val="0"/>
        <w:spacing w:after="0"/>
        <w:ind w:left="0" w:firstLine="709"/>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w:t>
      </w:r>
      <w:r w:rsidRPr="003B3C11">
        <w:lastRenderedPageBreak/>
        <w:t>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EB0F76" w:rsidRDefault="00614064" w:rsidP="001275D9">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Pr="002C0854" w:rsidRDefault="00342FEC" w:rsidP="003F1188">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r w:rsidR="003F1188">
        <w:t>не требуется</w:t>
      </w:r>
      <w:r w:rsidR="00123001">
        <w:t>.</w:t>
      </w:r>
    </w:p>
    <w:p w:rsidR="00473929" w:rsidRDefault="00360E7C" w:rsidP="00360E7C">
      <w:pPr>
        <w:pStyle w:val="ac"/>
        <w:autoSpaceDE w:val="0"/>
        <w:autoSpaceDN w:val="0"/>
        <w:adjustRightInd w:val="0"/>
        <w:ind w:left="0" w:firstLine="708"/>
        <w:jc w:val="both"/>
      </w:pPr>
      <w:r>
        <w:t>11.</w:t>
      </w:r>
      <w:r>
        <w:tab/>
      </w:r>
      <w:r w:rsidR="00473929">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3F1188">
        <w:t xml:space="preserve"> не требуется</w:t>
      </w:r>
      <w:r w:rsidR="009A6EA1">
        <w:t>.</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666B96">
        <w:t>05</w:t>
      </w:r>
      <w:r>
        <w:t xml:space="preserve"> » </w:t>
      </w:r>
      <w:r>
        <w:rPr>
          <w:rFonts w:cs="Arial"/>
          <w:sz w:val="22"/>
          <w:szCs w:val="22"/>
        </w:rPr>
        <w:t xml:space="preserve">  </w:t>
      </w:r>
      <w:r w:rsidR="00666B96">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t>1</w:t>
      </w:r>
      <w:r w:rsidR="00360E7C">
        <w:t>6</w:t>
      </w:r>
      <w:r>
        <w:t>.</w:t>
      </w:r>
      <w:r>
        <w:tab/>
        <w:t>Дата окончания срока рассмотрения заявок на участие в аукционе в электронной форме: «</w:t>
      </w:r>
      <w:r w:rsidR="00666B96">
        <w:t>06</w:t>
      </w:r>
      <w:r>
        <w:t xml:space="preserve"> » </w:t>
      </w:r>
      <w:r>
        <w:rPr>
          <w:rFonts w:cs="Arial"/>
          <w:sz w:val="22"/>
          <w:szCs w:val="22"/>
        </w:rPr>
        <w:t xml:space="preserve">    </w:t>
      </w:r>
      <w:r w:rsidR="00666B96">
        <w:t xml:space="preserve">октября </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666B96">
        <w:t>09</w:t>
      </w:r>
      <w:r>
        <w:t>» </w:t>
      </w:r>
      <w:r>
        <w:rPr>
          <w:rFonts w:cs="Arial"/>
          <w:sz w:val="22"/>
          <w:szCs w:val="22"/>
        </w:rPr>
        <w:t xml:space="preserve">    </w:t>
      </w:r>
      <w:r w:rsidR="00666B96">
        <w:t xml:space="preserve">октября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473929" w:rsidRPr="005E0C5B">
        <w:t xml:space="preserve">Преимущества для субъектов малого предпринимательства, социально ориентированных некоммерческих организаций </w:t>
      </w:r>
      <w:r w:rsidR="00473929">
        <w:t>–</w:t>
      </w:r>
      <w:r w:rsidR="00473929" w:rsidRPr="005E0C5B">
        <w:t xml:space="preserve"> </w:t>
      </w:r>
      <w:r w:rsidR="00473929">
        <w:t xml:space="preserve">не </w:t>
      </w:r>
      <w:r w:rsidR="00473929" w:rsidRPr="005E0C5B">
        <w:t>предоставляются.</w:t>
      </w:r>
    </w:p>
    <w:p w:rsidR="00473929" w:rsidRDefault="00473929" w:rsidP="00473929">
      <w:pPr>
        <w:autoSpaceDE w:val="0"/>
        <w:autoSpaceDN w:val="0"/>
        <w:adjustRightInd w:val="0"/>
        <w:spacing w:after="0"/>
        <w:ind w:firstLine="709"/>
      </w:pPr>
      <w:r>
        <w:t>2</w:t>
      </w:r>
      <w:r w:rsidR="00360E7C">
        <w:t>1</w:t>
      </w:r>
      <w:r>
        <w:t>.</w:t>
      </w:r>
      <w:r>
        <w:tab/>
        <w:t>Размер обеспечения заявки на участие в зак</w:t>
      </w:r>
      <w:bookmarkStart w:id="0" w:name="_GoBack"/>
      <w:bookmarkEnd w:id="0"/>
      <w:r>
        <w:t xml:space="preserve">упке: </w:t>
      </w:r>
      <w:r w:rsidR="0019666E">
        <w:t>46</w:t>
      </w:r>
      <w:r w:rsidR="00067A1D">
        <w:t> 301,50</w:t>
      </w:r>
      <w:r w:rsidR="00A60DC2">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19666E">
        <w:rPr>
          <w:bCs/>
          <w:kern w:val="1"/>
          <w:sz w:val="22"/>
          <w:szCs w:val="22"/>
          <w:lang w:eastAsia="ar-SA"/>
        </w:rPr>
        <w:t>92</w:t>
      </w:r>
      <w:r w:rsidR="00067A1D">
        <w:rPr>
          <w:bCs/>
          <w:kern w:val="1"/>
          <w:sz w:val="22"/>
          <w:szCs w:val="22"/>
          <w:lang w:eastAsia="ar-SA"/>
        </w:rPr>
        <w:t>6</w:t>
      </w:r>
      <w:r w:rsidR="0019666E">
        <w:rPr>
          <w:bCs/>
          <w:kern w:val="1"/>
          <w:sz w:val="22"/>
          <w:szCs w:val="22"/>
          <w:lang w:eastAsia="ar-SA"/>
        </w:rPr>
        <w:t> </w:t>
      </w:r>
      <w:r w:rsidR="00067A1D">
        <w:rPr>
          <w:bCs/>
          <w:kern w:val="1"/>
          <w:sz w:val="22"/>
          <w:szCs w:val="22"/>
          <w:lang w:eastAsia="ar-SA"/>
        </w:rPr>
        <w:t xml:space="preserve"> 030,00 </w:t>
      </w:r>
      <w:r w:rsidRPr="00912B22">
        <w:rPr>
          <w:bCs/>
          <w:kern w:val="1"/>
          <w:sz w:val="22"/>
          <w:szCs w:val="22"/>
          <w:lang w:eastAsia="ar-SA"/>
        </w:rPr>
        <w:t>рублей</w:t>
      </w:r>
      <w:r w:rsidRPr="0083393B">
        <w:t>.</w:t>
      </w:r>
    </w:p>
    <w:p w:rsidR="00473929" w:rsidRPr="00912B22" w:rsidRDefault="00473929" w:rsidP="00473929">
      <w:pPr>
        <w:ind w:firstLine="708"/>
      </w:pPr>
      <w:r w:rsidRPr="00912B22">
        <w:lastRenderedPageBreak/>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EB0F76">
        <w:t xml:space="preserve"> </w:t>
      </w:r>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на участие в долевом строительстве благоустроенных квартир</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lastRenderedPageBreak/>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73929" w:rsidRDefault="00473929" w:rsidP="00473929">
      <w:pPr>
        <w:tabs>
          <w:tab w:val="num" w:pos="142"/>
        </w:tabs>
        <w:autoSpaceDE w:val="0"/>
        <w:autoSpaceDN w:val="0"/>
        <w:adjustRightInd w:val="0"/>
        <w:ind w:firstLine="709"/>
      </w:pPr>
      <w:r>
        <w:t>2</w:t>
      </w:r>
      <w:r w:rsidR="00360E7C">
        <w:t>9</w:t>
      </w:r>
      <w:r>
        <w:t xml:space="preserve">. </w:t>
      </w:r>
      <w:proofErr w:type="gramStart"/>
      <w: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tabs>
          <w:tab w:val="num" w:pos="142"/>
        </w:tabs>
        <w:ind w:firstLine="709"/>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Ж.В. Резинкина</w:t>
      </w:r>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8"/>
      <w:footerReference w:type="default" r:id="rId9"/>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246" w:rsidRDefault="00A15246" w:rsidP="002F6760">
      <w:pPr>
        <w:spacing w:after="0"/>
      </w:pPr>
      <w:r>
        <w:separator/>
      </w:r>
    </w:p>
  </w:endnote>
  <w:endnote w:type="continuationSeparator" w:id="0">
    <w:p w:rsidR="00A15246" w:rsidRDefault="00A1524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666B96">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246" w:rsidRDefault="00A15246" w:rsidP="002F6760">
      <w:pPr>
        <w:spacing w:after="0"/>
      </w:pPr>
      <w:r>
        <w:separator/>
      </w:r>
    </w:p>
  </w:footnote>
  <w:footnote w:type="continuationSeparator" w:id="0">
    <w:p w:rsidR="00A15246" w:rsidRDefault="00A1524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67A1D"/>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51273"/>
    <w:rsid w:val="00164CCD"/>
    <w:rsid w:val="00167A0F"/>
    <w:rsid w:val="001712E3"/>
    <w:rsid w:val="00171BF2"/>
    <w:rsid w:val="00171C1F"/>
    <w:rsid w:val="001828D8"/>
    <w:rsid w:val="00182D7A"/>
    <w:rsid w:val="001900DE"/>
    <w:rsid w:val="00193BE8"/>
    <w:rsid w:val="0019666E"/>
    <w:rsid w:val="001A7BB8"/>
    <w:rsid w:val="001A7DB5"/>
    <w:rsid w:val="001B310C"/>
    <w:rsid w:val="001D2B2B"/>
    <w:rsid w:val="001D708D"/>
    <w:rsid w:val="001F19B5"/>
    <w:rsid w:val="002018BD"/>
    <w:rsid w:val="00211E90"/>
    <w:rsid w:val="00211ED8"/>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44B1"/>
    <w:rsid w:val="003D2568"/>
    <w:rsid w:val="003E24FA"/>
    <w:rsid w:val="003E5918"/>
    <w:rsid w:val="003F1188"/>
    <w:rsid w:val="00400FD8"/>
    <w:rsid w:val="004073E7"/>
    <w:rsid w:val="004078A2"/>
    <w:rsid w:val="00424B1B"/>
    <w:rsid w:val="00424FC2"/>
    <w:rsid w:val="00425E39"/>
    <w:rsid w:val="0043015A"/>
    <w:rsid w:val="004472BE"/>
    <w:rsid w:val="00450832"/>
    <w:rsid w:val="00451778"/>
    <w:rsid w:val="004535F1"/>
    <w:rsid w:val="00456567"/>
    <w:rsid w:val="00473929"/>
    <w:rsid w:val="004916F0"/>
    <w:rsid w:val="004927C3"/>
    <w:rsid w:val="00494BBA"/>
    <w:rsid w:val="004A6BAC"/>
    <w:rsid w:val="004B7601"/>
    <w:rsid w:val="004D248B"/>
    <w:rsid w:val="00506FC9"/>
    <w:rsid w:val="00516541"/>
    <w:rsid w:val="00517B6F"/>
    <w:rsid w:val="0056002D"/>
    <w:rsid w:val="00573219"/>
    <w:rsid w:val="00577880"/>
    <w:rsid w:val="00580FCC"/>
    <w:rsid w:val="00582163"/>
    <w:rsid w:val="005840DB"/>
    <w:rsid w:val="00587071"/>
    <w:rsid w:val="005A4820"/>
    <w:rsid w:val="005A6B59"/>
    <w:rsid w:val="005B4190"/>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66B96"/>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136B"/>
    <w:rsid w:val="00734732"/>
    <w:rsid w:val="007364BA"/>
    <w:rsid w:val="00757988"/>
    <w:rsid w:val="007677FD"/>
    <w:rsid w:val="00776545"/>
    <w:rsid w:val="007816EE"/>
    <w:rsid w:val="007977F1"/>
    <w:rsid w:val="007A4A3B"/>
    <w:rsid w:val="007A6923"/>
    <w:rsid w:val="007B44CD"/>
    <w:rsid w:val="007D78B9"/>
    <w:rsid w:val="007E04CA"/>
    <w:rsid w:val="007E3887"/>
    <w:rsid w:val="007F79A3"/>
    <w:rsid w:val="0081191D"/>
    <w:rsid w:val="0081662B"/>
    <w:rsid w:val="00830F56"/>
    <w:rsid w:val="0083393B"/>
    <w:rsid w:val="008628EA"/>
    <w:rsid w:val="00865EE1"/>
    <w:rsid w:val="008663D9"/>
    <w:rsid w:val="00880145"/>
    <w:rsid w:val="00890E4A"/>
    <w:rsid w:val="00891B87"/>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E18BB"/>
    <w:rsid w:val="009E1CCE"/>
    <w:rsid w:val="009F0C6F"/>
    <w:rsid w:val="00A02986"/>
    <w:rsid w:val="00A15246"/>
    <w:rsid w:val="00A403F1"/>
    <w:rsid w:val="00A4052F"/>
    <w:rsid w:val="00A50EE8"/>
    <w:rsid w:val="00A511BC"/>
    <w:rsid w:val="00A555AF"/>
    <w:rsid w:val="00A60DC2"/>
    <w:rsid w:val="00A631BF"/>
    <w:rsid w:val="00A657B0"/>
    <w:rsid w:val="00A662D3"/>
    <w:rsid w:val="00A75782"/>
    <w:rsid w:val="00A80CBF"/>
    <w:rsid w:val="00A83A0D"/>
    <w:rsid w:val="00A87D96"/>
    <w:rsid w:val="00AA27C5"/>
    <w:rsid w:val="00AA75FC"/>
    <w:rsid w:val="00AB7B30"/>
    <w:rsid w:val="00AC11EF"/>
    <w:rsid w:val="00AC27EF"/>
    <w:rsid w:val="00AD0989"/>
    <w:rsid w:val="00AD7309"/>
    <w:rsid w:val="00AE0496"/>
    <w:rsid w:val="00AF05B5"/>
    <w:rsid w:val="00B07AAF"/>
    <w:rsid w:val="00B10A9E"/>
    <w:rsid w:val="00B11667"/>
    <w:rsid w:val="00B11789"/>
    <w:rsid w:val="00B203F4"/>
    <w:rsid w:val="00B3377C"/>
    <w:rsid w:val="00B46076"/>
    <w:rsid w:val="00B46C7B"/>
    <w:rsid w:val="00B77C81"/>
    <w:rsid w:val="00B83068"/>
    <w:rsid w:val="00B84546"/>
    <w:rsid w:val="00B85A25"/>
    <w:rsid w:val="00B90ECE"/>
    <w:rsid w:val="00B95272"/>
    <w:rsid w:val="00BC0848"/>
    <w:rsid w:val="00BE2C3E"/>
    <w:rsid w:val="00BF12A7"/>
    <w:rsid w:val="00BF4402"/>
    <w:rsid w:val="00BF6B73"/>
    <w:rsid w:val="00C02331"/>
    <w:rsid w:val="00C06710"/>
    <w:rsid w:val="00C155A5"/>
    <w:rsid w:val="00C55D9D"/>
    <w:rsid w:val="00C674F0"/>
    <w:rsid w:val="00C72FCB"/>
    <w:rsid w:val="00C8364A"/>
    <w:rsid w:val="00D1179F"/>
    <w:rsid w:val="00D17665"/>
    <w:rsid w:val="00D2021A"/>
    <w:rsid w:val="00D22B1E"/>
    <w:rsid w:val="00D269D7"/>
    <w:rsid w:val="00D31D4F"/>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37B76"/>
    <w:rsid w:val="00E440C2"/>
    <w:rsid w:val="00E45B98"/>
    <w:rsid w:val="00E471C2"/>
    <w:rsid w:val="00E60925"/>
    <w:rsid w:val="00E7131B"/>
    <w:rsid w:val="00E77141"/>
    <w:rsid w:val="00E82EF3"/>
    <w:rsid w:val="00E8328D"/>
    <w:rsid w:val="00EB0F76"/>
    <w:rsid w:val="00EB2444"/>
    <w:rsid w:val="00ED3116"/>
    <w:rsid w:val="00ED338C"/>
    <w:rsid w:val="00ED7E64"/>
    <w:rsid w:val="00EE0491"/>
    <w:rsid w:val="00EF16F8"/>
    <w:rsid w:val="00EF5E7A"/>
    <w:rsid w:val="00F141F9"/>
    <w:rsid w:val="00F16BB8"/>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1219</TotalTime>
  <Pages>5</Pages>
  <Words>2440</Words>
  <Characters>13914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71</cp:revision>
  <cp:lastPrinted>2015-08-13T10:34:00Z</cp:lastPrinted>
  <dcterms:created xsi:type="dcterms:W3CDTF">2014-05-20T09:26:00Z</dcterms:created>
  <dcterms:modified xsi:type="dcterms:W3CDTF">2015-09-18T10:37:00Z</dcterms:modified>
</cp:coreProperties>
</file>