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B5073F" w:rsidRPr="00B5073F">
        <w:rPr>
          <w:rFonts w:ascii="Times New Roman" w:eastAsia="Times New Roman" w:hAnsi="Times New Roman" w:cs="Times New Roman"/>
        </w:rPr>
        <w:t>203862200272086220100100080011061000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ED2313">
        <w:rPr>
          <w:rFonts w:ascii="Times New Roman" w:hAnsi="Times New Roman" w:cs="Times New Roman"/>
          <w:b/>
          <w:bCs/>
        </w:rPr>
        <w:t>мука</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AB5700">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20D89"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20D89" w:rsidRDefault="00C20D8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20D89" w:rsidRPr="00C20D89" w:rsidRDefault="00ED2313" w:rsidP="00ED2313">
            <w:pPr>
              <w:autoSpaceDE w:val="0"/>
              <w:autoSpaceDN w:val="0"/>
              <w:adjustRightInd w:val="0"/>
              <w:spacing w:after="0"/>
              <w:jc w:val="center"/>
              <w:rPr>
                <w:rFonts w:ascii="Times New Roman" w:hAnsi="Times New Roman" w:cs="Times New Roman"/>
                <w:sz w:val="20"/>
              </w:rPr>
            </w:pPr>
            <w:r w:rsidRPr="00ED2313">
              <w:rPr>
                <w:rFonts w:ascii="Times New Roman" w:eastAsia="Times New Roman" w:hAnsi="Times New Roman" w:cs="Times New Roman"/>
                <w:sz w:val="20"/>
              </w:rPr>
              <w:t>10.61.21.110-00000004</w:t>
            </w:r>
          </w:p>
        </w:tc>
        <w:tc>
          <w:tcPr>
            <w:tcW w:w="3029" w:type="dxa"/>
            <w:tcBorders>
              <w:top w:val="single" w:sz="4" w:space="0" w:color="auto"/>
              <w:left w:val="single" w:sz="4" w:space="0" w:color="auto"/>
              <w:bottom w:val="single" w:sz="4" w:space="0" w:color="auto"/>
              <w:right w:val="single" w:sz="4" w:space="0" w:color="auto"/>
            </w:tcBorders>
            <w:hideMark/>
          </w:tcPr>
          <w:p w:rsidR="00C20D89" w:rsidRPr="00C20D89" w:rsidRDefault="00ED2313" w:rsidP="00ED2313">
            <w:pPr>
              <w:spacing w:after="0" w:line="240" w:lineRule="auto"/>
              <w:jc w:val="both"/>
              <w:rPr>
                <w:rFonts w:ascii="Times New Roman" w:hAnsi="Times New Roman" w:cs="Times New Roman"/>
                <w:sz w:val="20"/>
              </w:rPr>
            </w:pPr>
            <w:r w:rsidRPr="00ED2313">
              <w:rPr>
                <w:rFonts w:ascii="Times New Roman" w:eastAsia="Times New Roman" w:hAnsi="Times New Roman" w:cs="Times New Roman"/>
                <w:color w:val="000000"/>
                <w:sz w:val="20"/>
              </w:rPr>
              <w:t>Мука пшеничная.</w:t>
            </w:r>
            <w:r>
              <w:rPr>
                <w:rFonts w:ascii="Times New Roman" w:eastAsia="Times New Roman" w:hAnsi="Times New Roman" w:cs="Times New Roman"/>
                <w:color w:val="000000"/>
                <w:sz w:val="20"/>
              </w:rPr>
              <w:t xml:space="preserve"> </w:t>
            </w:r>
            <w:r w:rsidRPr="00ED2313">
              <w:rPr>
                <w:rFonts w:ascii="Times New Roman" w:eastAsia="Times New Roman" w:hAnsi="Times New Roman" w:cs="Times New Roman"/>
                <w:color w:val="000000"/>
                <w:sz w:val="20"/>
              </w:rPr>
              <w:t>Вид муки: Хлебопекарная</w:t>
            </w:r>
            <w:r>
              <w:rPr>
                <w:rFonts w:ascii="Times New Roman" w:eastAsia="Times New Roman" w:hAnsi="Times New Roman" w:cs="Times New Roman"/>
                <w:color w:val="000000"/>
                <w:sz w:val="20"/>
              </w:rPr>
              <w:t xml:space="preserve">. </w:t>
            </w:r>
            <w:r w:rsidRPr="00ED2313">
              <w:rPr>
                <w:rFonts w:ascii="Times New Roman" w:eastAsia="Times New Roman" w:hAnsi="Times New Roman" w:cs="Times New Roman"/>
                <w:color w:val="000000"/>
                <w:sz w:val="20"/>
              </w:rPr>
              <w:t>Сорт пшеничной хлебопекарной муки, не ниже: Высший</w:t>
            </w:r>
            <w:r>
              <w:rPr>
                <w:rFonts w:ascii="Times New Roman" w:eastAsia="Times New Roman" w:hAnsi="Times New Roman" w:cs="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rsidR="00C20D89" w:rsidRPr="00C20D89" w:rsidRDefault="00C20D89" w:rsidP="005C0C55">
            <w:pPr>
              <w:spacing w:after="0"/>
              <w:jc w:val="center"/>
              <w:rPr>
                <w:rFonts w:ascii="Times New Roman" w:hAnsi="Times New Roman" w:cs="Times New Roman"/>
                <w:sz w:val="20"/>
              </w:rPr>
            </w:pPr>
            <w:r w:rsidRPr="00C20D89">
              <w:rPr>
                <w:rFonts w:ascii="Times New Roman" w:hAnsi="Times New Roman" w:cs="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C20D89" w:rsidRPr="00C20D89" w:rsidRDefault="005C5D90" w:rsidP="005C0C55">
            <w:pPr>
              <w:spacing w:after="0"/>
              <w:jc w:val="center"/>
              <w:rPr>
                <w:rFonts w:ascii="Times New Roman" w:hAnsi="Times New Roman" w:cs="Times New Roman"/>
                <w:sz w:val="20"/>
              </w:rPr>
            </w:pPr>
            <w:r>
              <w:rPr>
                <w:rFonts w:ascii="Times New Roman" w:hAnsi="Times New Roman" w:cs="Times New Roman"/>
                <w:sz w:val="20"/>
              </w:rPr>
              <w:t>2812</w:t>
            </w:r>
          </w:p>
        </w:tc>
        <w:tc>
          <w:tcPr>
            <w:tcW w:w="3025" w:type="dxa"/>
            <w:tcBorders>
              <w:top w:val="single" w:sz="4" w:space="0" w:color="auto"/>
              <w:left w:val="single" w:sz="4" w:space="0" w:color="auto"/>
              <w:bottom w:val="single" w:sz="4" w:space="0" w:color="auto"/>
              <w:right w:val="single" w:sz="4" w:space="0" w:color="auto"/>
            </w:tcBorders>
            <w:hideMark/>
          </w:tcPr>
          <w:p w:rsidR="00C20D89" w:rsidRPr="000B4A59" w:rsidRDefault="005C5D90" w:rsidP="000B4A59">
            <w:pPr>
              <w:jc w:val="center"/>
              <w:rPr>
                <w:rFonts w:ascii="Times New Roman" w:hAnsi="Times New Roman" w:cs="Times New Roman"/>
                <w:b/>
                <w:sz w:val="20"/>
                <w:szCs w:val="20"/>
              </w:rPr>
            </w:pPr>
            <w:r>
              <w:rPr>
                <w:rFonts w:ascii="Times New Roman" w:hAnsi="Times New Roman" w:cs="Times New Roman"/>
                <w:b/>
                <w:sz w:val="20"/>
                <w:szCs w:val="20"/>
              </w:rPr>
              <w:t>116 219,96</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5C5D90" w:rsidP="000B4A59">
            <w:pPr>
              <w:jc w:val="center"/>
              <w:rPr>
                <w:rFonts w:ascii="Times New Roman" w:hAnsi="Times New Roman" w:cs="Times New Roman"/>
                <w:b/>
                <w:sz w:val="20"/>
                <w:szCs w:val="20"/>
              </w:rPr>
            </w:pPr>
            <w:r>
              <w:rPr>
                <w:rFonts w:ascii="Times New Roman" w:hAnsi="Times New Roman" w:cs="Times New Roman"/>
                <w:b/>
                <w:sz w:val="20"/>
                <w:szCs w:val="20"/>
              </w:rPr>
              <w:t>116 219,96</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w:t>
      </w:r>
      <w:r w:rsidRPr="00BB10AF">
        <w:rPr>
          <w:rFonts w:ascii="Times New Roman" w:eastAsia="Times New Roman" w:hAnsi="Times New Roman" w:cs="Times New Roman"/>
          <w:iCs/>
        </w:rPr>
        <w:lastRenderedPageBreak/>
        <w:t>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162845">
        <w:rPr>
          <w:rFonts w:ascii="Times New Roman" w:hAnsi="Times New Roman" w:cs="Times New Roman"/>
          <w:b/>
          <w:u w:val="single"/>
        </w:rPr>
        <w:t>29</w:t>
      </w:r>
      <w:bookmarkStart w:id="0" w:name="_GoBack"/>
      <w:bookmarkEnd w:id="0"/>
      <w:r w:rsidR="000B4A59" w:rsidRPr="00BB10AF">
        <w:rPr>
          <w:rFonts w:ascii="Times New Roman" w:hAnsi="Times New Roman" w:cs="Times New Roman"/>
          <w:b/>
          <w:u w:val="single"/>
        </w:rPr>
        <w:t>» </w:t>
      </w:r>
      <w:r w:rsidR="00162845">
        <w:t>июня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162845">
        <w:rPr>
          <w:rFonts w:ascii="Times New Roman" w:hAnsi="Times New Roman" w:cs="Times New Roman"/>
          <w:b/>
          <w:u w:val="single"/>
        </w:rPr>
        <w:t>30</w:t>
      </w:r>
      <w:r w:rsidRPr="00BB10AF">
        <w:rPr>
          <w:rFonts w:ascii="Times New Roman" w:hAnsi="Times New Roman" w:cs="Times New Roman"/>
          <w:b/>
          <w:u w:val="single"/>
        </w:rPr>
        <w:t xml:space="preserve">»   </w:t>
      </w:r>
      <w:r w:rsidR="00162845">
        <w:t>июня</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162845">
        <w:rPr>
          <w:rFonts w:ascii="Times New Roman" w:hAnsi="Times New Roman" w:cs="Times New Roman"/>
          <w:b/>
          <w:u w:val="single"/>
        </w:rPr>
        <w:t>02</w:t>
      </w:r>
      <w:r w:rsidR="000B4A59" w:rsidRPr="00BB10AF">
        <w:rPr>
          <w:rFonts w:ascii="Times New Roman" w:hAnsi="Times New Roman" w:cs="Times New Roman"/>
          <w:b/>
          <w:u w:val="single"/>
        </w:rPr>
        <w:t xml:space="preserve"> »  </w:t>
      </w:r>
      <w:r w:rsidR="00162845">
        <w:t>ию</w:t>
      </w:r>
      <w:r w:rsidR="00162845">
        <w:t>л</w:t>
      </w:r>
      <w:r w:rsidR="00162845">
        <w:t>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5C5D90">
        <w:rPr>
          <w:rFonts w:ascii="Times New Roman" w:hAnsi="Times New Roman" w:cs="Times New Roman"/>
          <w:b/>
        </w:rPr>
        <w:t>1 162 (одна тысяча сто шестьдесят два) рубля 20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ED2313">
        <w:rPr>
          <w:rFonts w:ascii="Times New Roman" w:eastAsia="Times New Roman" w:hAnsi="Times New Roman" w:cs="Times New Roman"/>
          <w:b/>
        </w:rPr>
        <w:t>мука</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F014E" w:rsidRPr="00BB10AF" w:rsidRDefault="00AF014E" w:rsidP="00AF014E">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F014E" w:rsidRPr="00E776C1" w:rsidRDefault="00AF014E" w:rsidP="00AF014E">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AF014E" w:rsidRPr="00E776C1" w:rsidRDefault="00AF014E" w:rsidP="00AF014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F014E" w:rsidRPr="00E776C1" w:rsidRDefault="00AF014E" w:rsidP="00AF014E">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F014E" w:rsidRPr="00E776C1" w:rsidRDefault="00AF014E" w:rsidP="00AF014E">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F014E" w:rsidRPr="00E776C1" w:rsidRDefault="00AF014E" w:rsidP="00AF014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AF014E" w:rsidRPr="00E776C1" w:rsidRDefault="00AF014E" w:rsidP="00AF014E">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AF014E" w:rsidRPr="00E776C1" w:rsidRDefault="00AF014E" w:rsidP="00AF014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У</w:t>
      </w:r>
      <w:r w:rsidRPr="000B4A59">
        <w:rPr>
          <w:rFonts w:ascii="Times New Roman" w:hAnsi="Times New Roman" w:cs="Times New Roman"/>
          <w:b/>
        </w:rPr>
        <w:t>стан</w:t>
      </w:r>
      <w:r w:rsidRPr="00E776C1">
        <w:rPr>
          <w:rFonts w:ascii="Times New Roman" w:hAnsi="Times New Roman" w:cs="Times New Roman"/>
          <w:b/>
        </w:rPr>
        <w:t>овлено;</w:t>
      </w:r>
    </w:p>
    <w:p w:rsidR="00AF014E" w:rsidRDefault="00AF014E" w:rsidP="00AF014E">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AF014E" w:rsidRDefault="00AF014E" w:rsidP="00AF014E">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AF014E" w:rsidRDefault="00AF014E" w:rsidP="00AF014E">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AF014E" w:rsidRDefault="00AF014E" w:rsidP="00AF014E">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884119" w:rsidP="00542A62">
      <w:pPr>
        <w:spacing w:after="0" w:line="240" w:lineRule="auto"/>
        <w:jc w:val="both"/>
        <w:rPr>
          <w:rFonts w:ascii="Times New Roman" w:hAnsi="Times New Roman" w:cs="Times New Roman"/>
        </w:rPr>
      </w:pPr>
      <w:r>
        <w:rPr>
          <w:rFonts w:ascii="Times New Roman" w:hAnsi="Times New Roman" w:cs="Times New Roman"/>
        </w:rPr>
        <w:t>Директор</w:t>
      </w:r>
      <w:r w:rsidR="00E2553D">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Pr>
          <w:rFonts w:ascii="Times New Roman" w:hAnsi="Times New Roman" w:cs="Times New Roman"/>
        </w:rPr>
        <w:t>Л.Н. 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60F75"/>
    <w:rsid w:val="00162845"/>
    <w:rsid w:val="00165683"/>
    <w:rsid w:val="00165B65"/>
    <w:rsid w:val="001725BF"/>
    <w:rsid w:val="00185456"/>
    <w:rsid w:val="001A134C"/>
    <w:rsid w:val="001B738A"/>
    <w:rsid w:val="001C35E8"/>
    <w:rsid w:val="001D26A3"/>
    <w:rsid w:val="001E7D99"/>
    <w:rsid w:val="001F2780"/>
    <w:rsid w:val="001F63E2"/>
    <w:rsid w:val="00202855"/>
    <w:rsid w:val="002032C8"/>
    <w:rsid w:val="00206BB5"/>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B6084"/>
    <w:rsid w:val="002C1524"/>
    <w:rsid w:val="002E4EBA"/>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446C5"/>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1216A"/>
    <w:rsid w:val="00520F10"/>
    <w:rsid w:val="00542A62"/>
    <w:rsid w:val="00553D3E"/>
    <w:rsid w:val="0056088D"/>
    <w:rsid w:val="00580E3A"/>
    <w:rsid w:val="00586AD4"/>
    <w:rsid w:val="00594658"/>
    <w:rsid w:val="005A1025"/>
    <w:rsid w:val="005A5A31"/>
    <w:rsid w:val="005B05C1"/>
    <w:rsid w:val="005B2DBB"/>
    <w:rsid w:val="005C5D90"/>
    <w:rsid w:val="005D0F37"/>
    <w:rsid w:val="005D173F"/>
    <w:rsid w:val="005F10A9"/>
    <w:rsid w:val="005F1D93"/>
    <w:rsid w:val="005F6FEA"/>
    <w:rsid w:val="00606D43"/>
    <w:rsid w:val="006163A0"/>
    <w:rsid w:val="00621176"/>
    <w:rsid w:val="00622F31"/>
    <w:rsid w:val="0064479A"/>
    <w:rsid w:val="006455E0"/>
    <w:rsid w:val="006518FB"/>
    <w:rsid w:val="00653EBC"/>
    <w:rsid w:val="00660EC5"/>
    <w:rsid w:val="006651A6"/>
    <w:rsid w:val="0067526D"/>
    <w:rsid w:val="006834F9"/>
    <w:rsid w:val="00684BC9"/>
    <w:rsid w:val="00691A44"/>
    <w:rsid w:val="006A092C"/>
    <w:rsid w:val="006A369D"/>
    <w:rsid w:val="006A3EC2"/>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84119"/>
    <w:rsid w:val="0089264F"/>
    <w:rsid w:val="008A227B"/>
    <w:rsid w:val="008B3717"/>
    <w:rsid w:val="008B3D24"/>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C14E4"/>
    <w:rsid w:val="009D4AE6"/>
    <w:rsid w:val="009D6CB3"/>
    <w:rsid w:val="009F250B"/>
    <w:rsid w:val="00A10E3E"/>
    <w:rsid w:val="00A14AD6"/>
    <w:rsid w:val="00A15F33"/>
    <w:rsid w:val="00A21A4A"/>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B5700"/>
    <w:rsid w:val="00AD73B7"/>
    <w:rsid w:val="00AE70C6"/>
    <w:rsid w:val="00AF014E"/>
    <w:rsid w:val="00AF20DB"/>
    <w:rsid w:val="00AF6651"/>
    <w:rsid w:val="00B15312"/>
    <w:rsid w:val="00B176F3"/>
    <w:rsid w:val="00B40E97"/>
    <w:rsid w:val="00B46F20"/>
    <w:rsid w:val="00B4777E"/>
    <w:rsid w:val="00B5073F"/>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0380"/>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E9F4-9E92-45DE-A319-E2123A7B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3663</Words>
  <Characters>20883</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17</cp:revision>
  <cp:lastPrinted>2020-03-23T10:41:00Z</cp:lastPrinted>
  <dcterms:created xsi:type="dcterms:W3CDTF">2020-01-22T06:14:00Z</dcterms:created>
  <dcterms:modified xsi:type="dcterms:W3CDTF">2020-06-19T06:21:00Z</dcterms:modified>
</cp:coreProperties>
</file>