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54FA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E54FA0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14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1365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E3839" w:rsidRDefault="009E3839" w:rsidP="009E3839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внесении изменений</w:t>
      </w:r>
    </w:p>
    <w:p w:rsidR="009E3839" w:rsidRDefault="009E3839" w:rsidP="009E3839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постановление администрации</w:t>
      </w:r>
    </w:p>
    <w:p w:rsidR="009E3839" w:rsidRDefault="009E3839" w:rsidP="009E3839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 от 26.03.2012 № 657</w:t>
      </w:r>
    </w:p>
    <w:p w:rsidR="009E3839" w:rsidRDefault="009E3839" w:rsidP="009E3839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«О межведомственной комиссии</w:t>
      </w:r>
    </w:p>
    <w:p w:rsidR="009E3839" w:rsidRDefault="009E3839" w:rsidP="009E3839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 профилактике правонарушений </w:t>
      </w:r>
    </w:p>
    <w:p w:rsidR="009E3839" w:rsidRDefault="009E3839" w:rsidP="009E3839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администрации города Югорска»</w:t>
      </w:r>
    </w:p>
    <w:p w:rsidR="009E3839" w:rsidRDefault="009E3839" w:rsidP="009E383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9E3839" w:rsidRDefault="009E3839" w:rsidP="009E3839">
      <w:pPr>
        <w:shd w:val="clear" w:color="auto" w:fill="FFFFFF"/>
        <w:ind w:firstLine="709"/>
        <w:jc w:val="both"/>
        <w:rPr>
          <w:rFonts w:cs="Calibri"/>
          <w:sz w:val="24"/>
          <w:szCs w:val="24"/>
        </w:rPr>
      </w:pPr>
    </w:p>
    <w:p w:rsidR="009E3839" w:rsidRDefault="009E3839" w:rsidP="009E383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решения Думы города Югорска от 05.05.2016 № 42 «О структуре администрации города Югорска»:</w:t>
      </w:r>
    </w:p>
    <w:p w:rsidR="009E3839" w:rsidRDefault="009E3839" w:rsidP="009E3839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Внести в постановление администрации города  Югорска от 26.03.2012 № 657                        «О межведомственной комиссии по профилактике правонарушений при администрации города  Югорска»  (с изменениями  от 20.03.2013 № 655,  21.01.2014 № 86,  04.12.2014 </w:t>
      </w:r>
      <w:proofErr w:type="gramEnd"/>
    </w:p>
    <w:p w:rsidR="009E3839" w:rsidRDefault="009E3839" w:rsidP="009E3839">
      <w:pPr>
        <w:shd w:val="clear" w:color="auto" w:fill="FFFFFF"/>
        <w:tabs>
          <w:tab w:val="left" w:pos="284"/>
          <w:tab w:val="left" w:pos="993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№ 6701, 03.12.2015 № 3502) следующие изменения:</w:t>
      </w:r>
      <w:proofErr w:type="gramEnd"/>
    </w:p>
    <w:p w:rsidR="009E3839" w:rsidRDefault="009E3839" w:rsidP="009E3839">
      <w:pPr>
        <w:pStyle w:val="a5"/>
        <w:numPr>
          <w:ilvl w:val="1"/>
          <w:numId w:val="2"/>
        </w:numPr>
        <w:shd w:val="clear" w:color="auto" w:fill="FFFFFF"/>
        <w:tabs>
          <w:tab w:val="left" w:pos="284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 1 изложить в новой редакции (приложение 1).</w:t>
      </w:r>
    </w:p>
    <w:p w:rsidR="009E3839" w:rsidRDefault="009E3839" w:rsidP="009E3839">
      <w:pPr>
        <w:pStyle w:val="a5"/>
        <w:numPr>
          <w:ilvl w:val="1"/>
          <w:numId w:val="2"/>
        </w:numPr>
        <w:shd w:val="clear" w:color="auto" w:fill="FFFFFF"/>
        <w:tabs>
          <w:tab w:val="left" w:pos="284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Приложение 2 изложить в новой редакции (приложение 2).</w:t>
      </w:r>
    </w:p>
    <w:p w:rsidR="009E3839" w:rsidRDefault="009E3839" w:rsidP="009E3839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9E3839" w:rsidRDefault="009E3839" w:rsidP="009E3839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E3839" w:rsidRDefault="009E3839" w:rsidP="009E3839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А.В. Бородкина.</w:t>
      </w:r>
    </w:p>
    <w:p w:rsidR="009E3839" w:rsidRDefault="009E3839" w:rsidP="009E383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both"/>
        <w:rPr>
          <w:b/>
          <w:sz w:val="24"/>
          <w:szCs w:val="24"/>
          <w:lang w:eastAsia="ru-RU"/>
        </w:rPr>
      </w:pPr>
      <w:proofErr w:type="gramStart"/>
      <w:r>
        <w:rPr>
          <w:b/>
          <w:sz w:val="24"/>
          <w:szCs w:val="24"/>
          <w:lang w:eastAsia="ru-RU"/>
        </w:rPr>
        <w:t>Исполняющий</w:t>
      </w:r>
      <w:proofErr w:type="gramEnd"/>
      <w:r>
        <w:rPr>
          <w:b/>
          <w:sz w:val="24"/>
          <w:szCs w:val="24"/>
          <w:lang w:eastAsia="ru-RU"/>
        </w:rPr>
        <w:t xml:space="preserve"> обязанности</w:t>
      </w:r>
    </w:p>
    <w:p w:rsidR="009E3839" w:rsidRDefault="009E3839" w:rsidP="009E3839">
      <w:pPr>
        <w:suppressAutoHyphens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главы города Югорска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  <w:lang w:eastAsia="ru-RU"/>
        </w:rPr>
        <w:t>Голин</w:t>
      </w:r>
      <w:proofErr w:type="spellEnd"/>
    </w:p>
    <w:p w:rsidR="009E3839" w:rsidRDefault="009E3839" w:rsidP="009E3839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Pr="009E3839" w:rsidRDefault="009E3839" w:rsidP="009E3839">
      <w:pPr>
        <w:suppressAutoHyphens w:val="0"/>
        <w:jc w:val="right"/>
        <w:rPr>
          <w:b/>
          <w:sz w:val="24"/>
          <w:szCs w:val="24"/>
          <w:lang w:eastAsia="ru-RU"/>
        </w:rPr>
      </w:pPr>
      <w:r w:rsidRPr="009E3839">
        <w:rPr>
          <w:b/>
          <w:sz w:val="24"/>
          <w:szCs w:val="24"/>
          <w:lang w:eastAsia="ru-RU"/>
        </w:rPr>
        <w:lastRenderedPageBreak/>
        <w:t>Приложение 1</w:t>
      </w:r>
    </w:p>
    <w:p w:rsidR="009E3839" w:rsidRPr="009E3839" w:rsidRDefault="009E3839" w:rsidP="009E3839">
      <w:pPr>
        <w:suppressAutoHyphens w:val="0"/>
        <w:jc w:val="right"/>
        <w:rPr>
          <w:b/>
          <w:sz w:val="24"/>
          <w:szCs w:val="24"/>
          <w:lang w:eastAsia="ru-RU"/>
        </w:rPr>
      </w:pPr>
      <w:r w:rsidRPr="009E3839">
        <w:rPr>
          <w:b/>
          <w:sz w:val="24"/>
          <w:szCs w:val="24"/>
          <w:lang w:eastAsia="ru-RU"/>
        </w:rPr>
        <w:t>к постановлению</w:t>
      </w:r>
    </w:p>
    <w:p w:rsidR="009E3839" w:rsidRPr="009E3839" w:rsidRDefault="009E3839" w:rsidP="009E3839">
      <w:pPr>
        <w:suppressAutoHyphens w:val="0"/>
        <w:jc w:val="right"/>
        <w:rPr>
          <w:b/>
          <w:sz w:val="24"/>
          <w:szCs w:val="24"/>
          <w:lang w:eastAsia="ru-RU"/>
        </w:rPr>
      </w:pPr>
      <w:r w:rsidRPr="009E3839">
        <w:rPr>
          <w:b/>
          <w:sz w:val="24"/>
          <w:szCs w:val="24"/>
          <w:lang w:eastAsia="ru-RU"/>
        </w:rPr>
        <w:t>администрации города Югорска</w:t>
      </w:r>
    </w:p>
    <w:p w:rsidR="009E3839" w:rsidRPr="009E3839" w:rsidRDefault="00E54FA0" w:rsidP="009E3839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 14 июня 2016 года  № 1365</w:t>
      </w: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1</w:t>
      </w: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</w:t>
      </w: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администрации города Югорска</w:t>
      </w:r>
    </w:p>
    <w:p w:rsidR="009E3839" w:rsidRDefault="009E3839" w:rsidP="009E3839">
      <w:pPr>
        <w:suppressAutoHyphens w:val="0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>от 26.03.2012 № 657</w:t>
      </w: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jc w:val="center"/>
        <w:rPr>
          <w:b/>
          <w:sz w:val="24"/>
          <w:szCs w:val="24"/>
        </w:rPr>
      </w:pPr>
    </w:p>
    <w:p w:rsidR="009E3839" w:rsidRDefault="009E3839" w:rsidP="009E3839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9E3839" w:rsidRDefault="009E3839" w:rsidP="009E3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межведомственной комиссии по профилактике правонарушений </w:t>
      </w:r>
    </w:p>
    <w:p w:rsidR="009E3839" w:rsidRDefault="009E3839" w:rsidP="009E383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 администрации города Югорска</w:t>
      </w:r>
    </w:p>
    <w:p w:rsidR="009E3839" w:rsidRDefault="009E3839" w:rsidP="009E3839">
      <w:pPr>
        <w:jc w:val="center"/>
        <w:rPr>
          <w:b/>
          <w:sz w:val="24"/>
          <w:szCs w:val="24"/>
        </w:rPr>
      </w:pPr>
    </w:p>
    <w:p w:rsidR="009E3839" w:rsidRDefault="009E3839" w:rsidP="009E3839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Общее положение</w:t>
      </w:r>
    </w:p>
    <w:p w:rsidR="009E3839" w:rsidRDefault="009E3839" w:rsidP="009E383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</w:t>
      </w:r>
      <w:proofErr w:type="gramStart"/>
      <w:r>
        <w:rPr>
          <w:sz w:val="24"/>
          <w:szCs w:val="24"/>
        </w:rPr>
        <w:t>Межведомственная комиссия по профилактике правонарушений администрации города Югорска (далее – Комиссия) является коллегиальным органом, обеспечивающим взаимодействие администрации города Югорска, территориальных органов федеральных органов исполнительной власти (по согласованию), учреждений, предприятий, организаций независимо от ведомственной принадлежности и организационно-правовых форм                                (по согласованию), общественных объединений (по согласованию), расположенных на территории города Югорска и принимающих участие в профилактике правонарушений.</w:t>
      </w:r>
      <w:proofErr w:type="gramEnd"/>
    </w:p>
    <w:p w:rsidR="009E3839" w:rsidRDefault="009E3839" w:rsidP="009E3839">
      <w:pPr>
        <w:ind w:firstLine="5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>
        <w:rPr>
          <w:sz w:val="24"/>
          <w:szCs w:val="24"/>
        </w:rPr>
        <w:t>В своей деятельности Комиссия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актами федеральных органов исполнительной власти, на которых в установленном порядке возложено регулирование деятельности в данной области (уполномоченных органов), законами Ханты-Мансийского автономного округа - Югры, постановлениями и распоряжениями Губернатора Ханты-Мансийского автономного округа - Югры, постановлениями и распоряжениями правительства Ханты-Мансийского автономного округа - Югры, Уставом</w:t>
      </w:r>
      <w:proofErr w:type="gramEnd"/>
      <w:r>
        <w:rPr>
          <w:sz w:val="24"/>
          <w:szCs w:val="24"/>
        </w:rPr>
        <w:t xml:space="preserve"> города Югорска, муниципальными правовыми актами города Югорска, а также настоящим Положением.</w:t>
      </w:r>
    </w:p>
    <w:p w:rsidR="009E3839" w:rsidRDefault="009E3839" w:rsidP="009E3839">
      <w:pPr>
        <w:ind w:firstLine="513"/>
        <w:jc w:val="both"/>
        <w:rPr>
          <w:sz w:val="24"/>
          <w:szCs w:val="24"/>
        </w:rPr>
      </w:pPr>
    </w:p>
    <w:p w:rsidR="009E3839" w:rsidRDefault="009E3839" w:rsidP="009E3839">
      <w:pPr>
        <w:ind w:firstLine="513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Задачи Комиссии</w:t>
      </w:r>
    </w:p>
    <w:p w:rsidR="009E3839" w:rsidRDefault="009E3839" w:rsidP="009E3839">
      <w:pPr>
        <w:suppressAutoHyphens w:val="0"/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t>Основными задачами Комиссии являются:</w:t>
      </w:r>
    </w:p>
    <w:p w:rsidR="009E3839" w:rsidRDefault="009E3839" w:rsidP="009E3839">
      <w:pPr>
        <w:pStyle w:val="1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Разработка предложений и создание условий для снижения уровня преступности, совершения правонарушений на территории города Югорска.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Организация системы профилактики правонарушений, направленной на активизацию борьбы с правонарушениями, преступностью, безнадзорностью и беспризорностью несовершеннолетних, незаконной миграцией, реабилитацию лиц, освободившихся из мест лишения свободы.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Активизация участия и улучшение взаимодействия деятельности органов местного самоуправления с городскими субъектами профилактики.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Выявление и устранение причин и условий, способствующих совершению правонарушений.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 Подготовка предложений по вопросам сотрудничества с другими муниципальными образованиями Ханты-Мансийского автономного округа – Югры в области профилактики правонарушений.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Повышение общего уровня правовой культуры граждан, создание системы стимулов для введения законопослушного образа жизни.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</w:p>
    <w:p w:rsidR="009E3839" w:rsidRDefault="009E3839" w:rsidP="009E3839">
      <w:pPr>
        <w:ind w:firstLine="567"/>
        <w:jc w:val="center"/>
        <w:rPr>
          <w:sz w:val="24"/>
          <w:szCs w:val="24"/>
        </w:rPr>
      </w:pPr>
    </w:p>
    <w:p w:rsidR="009E3839" w:rsidRDefault="009E3839" w:rsidP="009E3839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Полномочия Комиссии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Комиссия имеет право: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3.1.Проводить комплексный анализ состояния профилактики правонарушений на территории города с последующей подготовкой соответствующих рекомендаций.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 Представлять главе города информацию о состоянии профилактической деятельности, вносить предложения по повышению ее эффективности.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Заслушивать на заседаниях Комиссии отчеты, информации по организации </w:t>
      </w:r>
      <w:proofErr w:type="gramStart"/>
      <w:r>
        <w:rPr>
          <w:sz w:val="24"/>
          <w:szCs w:val="24"/>
        </w:rPr>
        <w:t>деятельности профилактики правонарушений структурных подразделений  администрации</w:t>
      </w:r>
      <w:proofErr w:type="gramEnd"/>
      <w:r>
        <w:rPr>
          <w:sz w:val="24"/>
          <w:szCs w:val="24"/>
        </w:rPr>
        <w:t xml:space="preserve"> города, территориальных органов федеральных органов исполнительной власти (по согласованию), учреждений (по согласованию), предприятий (по согласованию), организаций независимо от ведомственной принадлежности и организационно-правовых форм (по согласованию), общественных объединений (по согласованию), расположенных на территории города.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 Координировать деятельность субъектов профилактики правонарушений, находящихся на территории города по разработке мер по предупреждению правонарушений, подготовке проектов нормативных и локальных актов в сфере профилактики правонарушений, укреплению взаимодействия и тесного сотрудничества с населением и средствами массовой информации.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 Запрашивать и получать, в переделах своей компетенции, от органов местного самоуправления города Югорска, территориальных органов федеральных органов исполнительной власти, учреждений, предприятий, организаций независимо от ведомственной принадлежности и организационно-правовых форм, общественных объединений необходимую для ее деятельности информацию, документы и материалы.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 Направлять своих представителей для участия в работе коллегий, заседаниях и совещаниях органов власти, местного самоуправления, межведомственных комиссий муниципальных образований по вопросам, отнесенным к компетенции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 Образовывать при необходимости рабочие группы, привлекать специалистов для проведения разработок методических пособий, экспертиз, научных исследований по вопросам профилактики правонарушений.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3.8. Организовывать разработку и рассматривать проекты программ по профилактике правонарушений на территории города, а также организовывать работу по исполнению программных мероприятий.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Принимать необходимые организационные меры по повышению качественного уровня проведения профилактической работы. 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3.10. Рассматривать возможность использования новых форм, методов и технологий в профилактике правонарушений.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ходом выполнения решений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</w:p>
    <w:p w:rsidR="009E3839" w:rsidRDefault="009E3839" w:rsidP="009E3839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. Состав и порядок деятельности Комиссии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Комиссия состоит из председателя, заместителей председателя, секретаря и членов Комиссии. 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Комиссию возглавляет председатель, а в его отсутствие один из заместителей председателя, по его поручению.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Председатель Комиссии руководит деятельностью Комиссии, определяет перечень, сроки и порядок рассмотрения вопросов на ее заседаниях, председательствует на заседаниях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Секретарь Комиссии: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4.4.1. Ведет протоколы заседаний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4.4.2. Обеспечивает подготовку запросов, проектов решений и других материалов и документов, касающихся выполнению функций и задач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4.4.3. Оформляет и рассылает решения Комиссии и выписки из них, а также выполняет поручения, связанные с их реализацией.</w:t>
      </w:r>
    </w:p>
    <w:p w:rsidR="009E3839" w:rsidRDefault="009E3839" w:rsidP="009E3839">
      <w:pPr>
        <w:tabs>
          <w:tab w:val="left" w:pos="851"/>
          <w:tab w:val="left" w:pos="1276"/>
          <w:tab w:val="left" w:pos="15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4.4.4. Организует оповещение членов Комиссии о проведении очередного заседания.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4.5. Присутствие на заседании Комиссии ее членов обязательно. Члены комиссии обладают равными правами при обсуждении рассматриваемых на заседании вопросов и принятии решений. В случае несогласия с принятым решением каждый член Комиссии вправе изложить письменное особое мнение, которое подлежит обязательному приобщению к протоколу.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если исполнение обязанностей по замещаемой членом Комиссии должности возложено в установленном порядке на иное должностное лицо, участие в заседании Комиссии принимает это должное лицо с правом совещательного голоса.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4.6. Члены Комиссии и (или) лицо, исполняющее его обязанности,  несут персональную ответственность за качество и своевременность представления материалов, вносимых на рассмотрение Комиссии и утвержденных протокольных решений.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непредставления материалов в установленный Комиссией срок или их предоставления с нарушением сроков, вопрос может быть снят с рассмотрения либо перенесен для рассмотрения на другое заседание.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4.7. Наряду с членами Комиссии участие в ее заседании могут принимать лица, приглашенные для участия в обсуждении отдельных вопросов повестки дня.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 приглашаемых на заседание Комиссии формируется секретарем Комиссии на основе предложений органов и организаций, ответственных за подготовку рассматриваемых вопросов, и заблаговременно докладываются председателю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Комиссия осуществляет свою деятельность в соответствии с планом работы, утвержденным на заседании Комиссии. 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 работы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 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в план работы Комиссии направляются в письменной форме секретарю Комиссии не позднее, чем за два месяца до начала планируемого периода либо в сроки, определенные председателем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основе предложений, поступивших секретарю Комиссии, формируется проект Плана работы заседаний Комиссии на очередной период, который, по согласованию с председателем Комиссии, выносится для обсуждения и утверждения на последнее заседании Комиссии текущего года.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4.9. Заседания комиссии проводятся по мере необходимости, но не реже четырех раз в год и считаются правомочными, если на заседании Комиссии присутствует более половины ее членов. В случае необходимости по решению председателя Комиссии могут проводиться внеочередные заседания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Дату, повестку дня заседания определяет председатель комиссии, в его отсутствие  - заместитель председателя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Проект повестки дня заседания Комиссии уточняется в процессе подготовки к очередному заседанию и согласовывается секретарем Комиссии с председателем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4.10. Заместитель председателя Комиссии в отсутствии председателя по его поручению выполняет функции председателя и руководит деятельностью рабочих групп.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4.11. Регламент заседания Комиссии определяется при подготовке к заседанию, а утверждается непосредственно на заседании.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4.12. Материалы для рассмотрения на заседаниях Комиссии, предложения в проект решений направляются исполнителями секретарю Комиссии за десять дней до даты заседания Комиссии. 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4.13. Решения Комиссии принимаются простым большинством голосов членов Комиссии, присутствующих на заседании. В случае равенства голосов голос председательствующего Комиссии (заместителя председателя, ведущего заседание по поручению председателя) является решающим.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4.14. Решения Комиссии оформляются протоколом, который в пятидневный срок после даты проведения заседания готовится секретарем Комиссии и подписывается председателем Комиссии. Особое мнение члена Комиссии или несогласие с решением комиссии излагается в письменном виде и приобщается к протоколу.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Решения заседаний Комиссии обязательны для исполнения.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решений, содержащихся в протоколах заседаний Комиссии осуществляет секретарь Комиссии. Секретарь снимает с контроля исполнение поручения на основании решения Комиссии.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реализации решений комиссии могут подготавливаться соответствующие муниципальные правовые акты, которые представляются на рассмотрение в установленном порядке.</w:t>
      </w:r>
    </w:p>
    <w:p w:rsidR="009E3839" w:rsidRDefault="009E3839" w:rsidP="009E3839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4.15. В рамках Комиссии могут создаваться рабочие группы по основным направлениям ее деятельности или для решения отдельных проблем в сфере профилактики правонарушений.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4.16. Граждане (физические лица), в том числе представители организаций (юридические лица), общественных объединений могут присутствовать на заседаниях Комиссии в соответствии с Федеральным законом Российской Федерации 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4.17. Информационно-аналитическое обеспечение комиссии осуществляют члены комиссии в соответствии с направлением своей основной деятельности.</w:t>
      </w:r>
    </w:p>
    <w:p w:rsidR="009E3839" w:rsidRDefault="009E3839" w:rsidP="009E38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4.18. Материально-техническое обеспечение Комиссии осуществляет администрация города Югорска.</w:t>
      </w:r>
    </w:p>
    <w:p w:rsidR="009E3839" w:rsidRDefault="009E3839" w:rsidP="009E3839">
      <w:pPr>
        <w:ind w:firstLine="513"/>
        <w:jc w:val="both"/>
        <w:rPr>
          <w:sz w:val="24"/>
          <w:szCs w:val="24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Pr="009E3839" w:rsidRDefault="009E3839" w:rsidP="009E3839">
      <w:pPr>
        <w:suppressAutoHyphens w:val="0"/>
        <w:jc w:val="right"/>
        <w:rPr>
          <w:b/>
          <w:sz w:val="24"/>
          <w:szCs w:val="24"/>
          <w:lang w:eastAsia="ru-RU"/>
        </w:rPr>
      </w:pPr>
      <w:r w:rsidRPr="009E3839">
        <w:rPr>
          <w:b/>
          <w:sz w:val="24"/>
          <w:szCs w:val="24"/>
          <w:lang w:eastAsia="ru-RU"/>
        </w:rPr>
        <w:lastRenderedPageBreak/>
        <w:t>Приложение 2</w:t>
      </w:r>
    </w:p>
    <w:p w:rsidR="009E3839" w:rsidRPr="009E3839" w:rsidRDefault="009E3839" w:rsidP="009E3839">
      <w:pPr>
        <w:suppressAutoHyphens w:val="0"/>
        <w:jc w:val="right"/>
        <w:rPr>
          <w:b/>
          <w:sz w:val="24"/>
          <w:szCs w:val="24"/>
          <w:lang w:eastAsia="ru-RU"/>
        </w:rPr>
      </w:pPr>
      <w:r w:rsidRPr="009E3839">
        <w:rPr>
          <w:b/>
          <w:sz w:val="24"/>
          <w:szCs w:val="24"/>
          <w:lang w:eastAsia="ru-RU"/>
        </w:rPr>
        <w:t>к постановлению</w:t>
      </w:r>
    </w:p>
    <w:p w:rsidR="009E3839" w:rsidRPr="009E3839" w:rsidRDefault="009E3839" w:rsidP="009E3839">
      <w:pPr>
        <w:suppressAutoHyphens w:val="0"/>
        <w:jc w:val="right"/>
        <w:rPr>
          <w:b/>
          <w:sz w:val="24"/>
          <w:szCs w:val="24"/>
          <w:lang w:eastAsia="ru-RU"/>
        </w:rPr>
      </w:pPr>
      <w:r w:rsidRPr="009E3839">
        <w:rPr>
          <w:b/>
          <w:sz w:val="24"/>
          <w:szCs w:val="24"/>
          <w:lang w:eastAsia="ru-RU"/>
        </w:rPr>
        <w:t>администрации города Югорска</w:t>
      </w:r>
    </w:p>
    <w:p w:rsidR="009E3839" w:rsidRPr="009E3839" w:rsidRDefault="00E54FA0" w:rsidP="009E3839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 14 июня 2016 года  № 1365</w:t>
      </w:r>
      <w:bookmarkStart w:id="0" w:name="_GoBack"/>
      <w:bookmarkEnd w:id="0"/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1</w:t>
      </w: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</w:t>
      </w: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администрации города Югорска</w:t>
      </w:r>
    </w:p>
    <w:p w:rsidR="009E3839" w:rsidRDefault="009E3839" w:rsidP="009E3839">
      <w:pPr>
        <w:suppressAutoHyphens w:val="0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>от 26.03.2012 № 657</w:t>
      </w:r>
    </w:p>
    <w:p w:rsidR="009E3839" w:rsidRDefault="009E3839" w:rsidP="009E3839">
      <w:pPr>
        <w:suppressAutoHyphens w:val="0"/>
        <w:jc w:val="right"/>
        <w:rPr>
          <w:sz w:val="24"/>
          <w:szCs w:val="24"/>
          <w:lang w:eastAsia="ru-RU"/>
        </w:rPr>
      </w:pPr>
    </w:p>
    <w:p w:rsidR="009E3839" w:rsidRDefault="009E3839" w:rsidP="009E3839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Состав</w:t>
      </w:r>
    </w:p>
    <w:p w:rsidR="009E3839" w:rsidRDefault="009E3839" w:rsidP="009E3839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межведомственной комиссии по профилактике правонарушений</w:t>
      </w:r>
    </w:p>
    <w:p w:rsidR="009E3839" w:rsidRDefault="009E3839" w:rsidP="009E3839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администрации города Югорска</w:t>
      </w:r>
    </w:p>
    <w:p w:rsidR="009E3839" w:rsidRDefault="009E3839" w:rsidP="009E3839">
      <w:pPr>
        <w:suppressAutoHyphens w:val="0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9E3839" w:rsidRPr="009E3839" w:rsidTr="009E383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Глава города Югорска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- председатель Комиссии</w:t>
            </w:r>
            <w:r w:rsidRPr="009E3839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3839" w:rsidRPr="009E3839" w:rsidTr="009E383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Заместитель главы города Югорска, в ведении которого находятся вопросы профилактики правонарушений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- заместитель председателя Комиссии</w:t>
            </w:r>
          </w:p>
        </w:tc>
      </w:tr>
      <w:tr w:rsidR="009E3839" w:rsidRPr="009E3839" w:rsidTr="009E383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Начальник управления по вопросам общественной безопасности администрации города Югорска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- заместитель председателя Комиссии</w:t>
            </w:r>
          </w:p>
        </w:tc>
      </w:tr>
      <w:tr w:rsidR="009E3839" w:rsidRPr="009E3839" w:rsidTr="009E383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Специалист-эксперт управления по вопросам общественной безопасности администрации города Югорска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- секретарь Комиссии</w:t>
            </w:r>
          </w:p>
        </w:tc>
      </w:tr>
      <w:tr w:rsidR="009E3839" w:rsidRPr="009E3839" w:rsidTr="009E383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839" w:rsidRPr="009E3839" w:rsidRDefault="009E3839" w:rsidP="009E3839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 xml:space="preserve">Заместитель главы города Югорска, в ведении которого находятся вопросы социальной политики 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Начальник отдела Министерства внутренних дел России по городу Югорску (по согласованию)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Начальник филиала по городу Югорску Федерального казенного учреждения уголовно-исполнительной инспекции Управления Федеральной службы исполнения наказаний (по согласованию)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Начальник управления социальной политики администрации города Югорска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Начальник управления образования администрации города Югорска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Начальник отдела по организации деятельности территориальной комиссии по делам несовершеннолетних и защите их прав при  администрации города Югорска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Директор – 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Заместитель начальника управления социальной защиты населения по городу Югорску и Советскому району (по согласованию)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 xml:space="preserve">Директор бюджетного учреждения Ханты-Мансийского автономного округа - Югры «Комплексный центр социального обслуживания населения «Сфера» (по согласованию) 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Начальник отдела трудоустройства бюджетного учреждения Ханты-Мансийского автономного округа – Югры «Югорский центр занятости населения» (по согласованию)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 xml:space="preserve">Директор бюджетного учреждения </w:t>
            </w:r>
            <w:r w:rsidRPr="009E3839">
              <w:rPr>
                <w:sz w:val="24"/>
                <w:szCs w:val="24"/>
                <w:shd w:val="clear" w:color="auto" w:fill="FFFFFF"/>
                <w:lang w:eastAsia="ru-RU"/>
              </w:rPr>
              <w:t>среднего профессионального образования</w:t>
            </w:r>
            <w:r w:rsidRPr="009E3839">
              <w:rPr>
                <w:color w:val="313335"/>
                <w:shd w:val="clear" w:color="auto" w:fill="FFFFFF"/>
                <w:lang w:eastAsia="ru-RU"/>
              </w:rPr>
              <w:t xml:space="preserve"> </w:t>
            </w:r>
            <w:r w:rsidRPr="009E3839">
              <w:rPr>
                <w:sz w:val="24"/>
                <w:szCs w:val="24"/>
                <w:lang w:eastAsia="ru-RU"/>
              </w:rPr>
              <w:t>Ханты-Мансийского автономного округа – Югры «Югорский политехнический колледж» (по согласованию)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Директор муниципального автономного учреждения «Молодежная центр «Гелиос» (по согласованию)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Командир членов народной дружины города Югорска, эксперт управления по вопросам общественной безопасности администрации города Югорска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Атаман казачьего общества «Станица Югорская» (по согласованию)</w:t>
            </w:r>
          </w:p>
        </w:tc>
      </w:tr>
      <w:tr w:rsidR="009E3839" w:rsidRPr="009E3839" w:rsidTr="009E3839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839" w:rsidRPr="009E3839" w:rsidRDefault="009E3839" w:rsidP="009E383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3839">
              <w:rPr>
                <w:sz w:val="24"/>
                <w:szCs w:val="24"/>
                <w:lang w:eastAsia="ru-RU"/>
              </w:rPr>
              <w:t>Руководитель общественной организации «Клуб молодых семей «Югорская семья» (по согласованию)</w:t>
            </w:r>
          </w:p>
        </w:tc>
      </w:tr>
    </w:tbl>
    <w:p w:rsidR="00256A87" w:rsidRPr="009233E1" w:rsidRDefault="00256A87" w:rsidP="009E3839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66484A"/>
    <w:multiLevelType w:val="multilevel"/>
    <w:tmpl w:val="39CCC1E4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isLgl/>
      <w:lvlText w:val="%1.%2."/>
      <w:lvlJc w:val="left"/>
      <w:pPr>
        <w:ind w:left="2014" w:hanging="360"/>
      </w:pPr>
    </w:lvl>
    <w:lvl w:ilvl="2">
      <w:start w:val="1"/>
      <w:numFmt w:val="decimal"/>
      <w:isLgl/>
      <w:lvlText w:val="%1.%2.%3."/>
      <w:lvlJc w:val="left"/>
      <w:pPr>
        <w:ind w:left="3319" w:hanging="720"/>
      </w:pPr>
    </w:lvl>
    <w:lvl w:ilvl="3">
      <w:start w:val="1"/>
      <w:numFmt w:val="decimal"/>
      <w:isLgl/>
      <w:lvlText w:val="%1.%2.%3.%4."/>
      <w:lvlJc w:val="left"/>
      <w:pPr>
        <w:ind w:left="4264" w:hanging="720"/>
      </w:pPr>
    </w:lvl>
    <w:lvl w:ilvl="4">
      <w:start w:val="1"/>
      <w:numFmt w:val="decimal"/>
      <w:isLgl/>
      <w:lvlText w:val="%1.%2.%3.%4.%5."/>
      <w:lvlJc w:val="left"/>
      <w:pPr>
        <w:ind w:left="5569" w:hanging="1080"/>
      </w:pPr>
    </w:lvl>
    <w:lvl w:ilvl="5">
      <w:start w:val="1"/>
      <w:numFmt w:val="decimal"/>
      <w:isLgl/>
      <w:lvlText w:val="%1.%2.%3.%4.%5.%6."/>
      <w:lvlJc w:val="left"/>
      <w:pPr>
        <w:ind w:left="6514" w:hanging="1080"/>
      </w:pPr>
    </w:lvl>
    <w:lvl w:ilvl="6">
      <w:start w:val="1"/>
      <w:numFmt w:val="decimal"/>
      <w:isLgl/>
      <w:lvlText w:val="%1.%2.%3.%4.%5.%6.%7."/>
      <w:lvlJc w:val="left"/>
      <w:pPr>
        <w:ind w:left="7819" w:hanging="1440"/>
      </w:p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</w:lvl>
    <w:lvl w:ilvl="8">
      <w:start w:val="1"/>
      <w:numFmt w:val="decimal"/>
      <w:isLgl/>
      <w:lvlText w:val="%1.%2.%3.%4.%5.%6.%7.%8.%9."/>
      <w:lvlJc w:val="left"/>
      <w:pPr>
        <w:ind w:left="1006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E3839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54FA0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9E38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9E383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d">
    <w:name w:val="Table Grid"/>
    <w:basedOn w:val="a1"/>
    <w:uiPriority w:val="59"/>
    <w:rsid w:val="009E3839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2016-06-14T07:54:00Z</cp:lastPrinted>
  <dcterms:created xsi:type="dcterms:W3CDTF">2011-11-15T08:57:00Z</dcterms:created>
  <dcterms:modified xsi:type="dcterms:W3CDTF">2016-06-14T07:54:00Z</dcterms:modified>
</cp:coreProperties>
</file>