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BB10AF"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25205D" w:rsidRPr="0025205D">
        <w:rPr>
          <w:rFonts w:ascii="Times New Roman" w:eastAsia="Times New Roman" w:hAnsi="Times New Roman" w:cs="Times New Roman"/>
        </w:rPr>
        <w:t>203862200272086220100100130010000000</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Pr="00BB10AF">
        <w:rPr>
          <w:rFonts w:ascii="Times New Roman" w:hAnsi="Times New Roman" w:cs="Times New Roman"/>
          <w:b/>
        </w:rPr>
        <w:t>Аукцион в электронной форме на право заключения гражданско-правового договора</w:t>
      </w:r>
      <w:r w:rsidRPr="00BB10AF">
        <w:rPr>
          <w:rFonts w:ascii="Times New Roman" w:eastAsia="Times New Roman" w:hAnsi="Times New Roman" w:cs="Times New Roman"/>
          <w:b/>
        </w:rPr>
        <w:t xml:space="preserve"> на поставку продуктов питания </w:t>
      </w:r>
      <w:r w:rsidRPr="00BB10AF">
        <w:rPr>
          <w:rFonts w:ascii="Times New Roman" w:hAnsi="Times New Roman" w:cs="Times New Roman"/>
          <w:b/>
          <w:bCs/>
        </w:rPr>
        <w:t>(</w:t>
      </w:r>
      <w:r w:rsidR="00F707B9">
        <w:rPr>
          <w:rFonts w:ascii="Times New Roman" w:eastAsia="Times New Roman" w:hAnsi="Times New Roman" w:cs="Times New Roman"/>
          <w:b/>
        </w:rPr>
        <w:t>сухофрукты</w:t>
      </w:r>
      <w:r w:rsidR="00C32CC7">
        <w:rPr>
          <w:rFonts w:ascii="Times New Roman" w:eastAsia="Times New Roman" w:hAnsi="Times New Roman" w:cs="Times New Roman"/>
          <w:b/>
        </w:rPr>
        <w:t>, томатная паста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1D50EB">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F707B9"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10.39.25.110</w:t>
            </w:r>
          </w:p>
        </w:tc>
        <w:tc>
          <w:tcPr>
            <w:tcW w:w="302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 xml:space="preserve">Курага, (сушеный абрикос), плоды цельные, без косточки, хорошо высушенные, без загрязнений. ГОСТ 32896-2014 </w:t>
            </w: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542712"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342</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542712" w:rsidP="00542712">
            <w:pPr>
              <w:jc w:val="center"/>
              <w:rPr>
                <w:rFonts w:ascii="Times New Roman" w:hAnsi="Times New Roman" w:cs="Times New Roman"/>
                <w:b/>
                <w:sz w:val="20"/>
                <w:szCs w:val="20"/>
              </w:rPr>
            </w:pPr>
            <w:r>
              <w:rPr>
                <w:rFonts w:ascii="Times New Roman" w:hAnsi="Times New Roman" w:cs="Times New Roman"/>
                <w:b/>
                <w:sz w:val="20"/>
                <w:szCs w:val="20"/>
              </w:rPr>
              <w:t>67 261,14</w:t>
            </w:r>
          </w:p>
        </w:tc>
      </w:tr>
      <w:tr w:rsidR="00F707B9" w:rsidTr="00544924">
        <w:trPr>
          <w:trHeight w:val="597"/>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10.39.25.110</w:t>
            </w:r>
          </w:p>
        </w:tc>
        <w:tc>
          <w:tcPr>
            <w:tcW w:w="302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Урюк, плоды цельные, хорошо высушенные, без загрязнения. ГОСТ 32896-2014</w:t>
            </w: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542712"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165</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542712" w:rsidP="00F707B9">
            <w:pPr>
              <w:jc w:val="center"/>
              <w:rPr>
                <w:rFonts w:ascii="Times New Roman" w:hAnsi="Times New Roman" w:cs="Times New Roman"/>
                <w:b/>
                <w:sz w:val="20"/>
                <w:szCs w:val="20"/>
              </w:rPr>
            </w:pPr>
            <w:r>
              <w:rPr>
                <w:rFonts w:ascii="Times New Roman" w:hAnsi="Times New Roman" w:cs="Times New Roman"/>
                <w:b/>
                <w:sz w:val="20"/>
                <w:szCs w:val="20"/>
              </w:rPr>
              <w:t xml:space="preserve">33 </w:t>
            </w:r>
            <w:r w:rsidR="00F707B9">
              <w:rPr>
                <w:rFonts w:ascii="Times New Roman" w:hAnsi="Times New Roman" w:cs="Times New Roman"/>
                <w:b/>
                <w:sz w:val="20"/>
                <w:szCs w:val="20"/>
              </w:rPr>
              <w:t>000,00</w:t>
            </w:r>
          </w:p>
        </w:tc>
      </w:tr>
      <w:tr w:rsidR="00F707B9" w:rsidTr="00F707B9">
        <w:trPr>
          <w:trHeight w:val="132"/>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10.39.17.111</w:t>
            </w:r>
          </w:p>
        </w:tc>
        <w:tc>
          <w:tcPr>
            <w:tcW w:w="3029" w:type="dxa"/>
            <w:tcBorders>
              <w:top w:val="single" w:sz="4" w:space="0" w:color="auto"/>
              <w:left w:val="single" w:sz="4" w:space="0" w:color="auto"/>
              <w:bottom w:val="single" w:sz="4" w:space="0" w:color="auto"/>
              <w:right w:val="single" w:sz="4" w:space="0" w:color="auto"/>
            </w:tcBorders>
            <w:hideMark/>
          </w:tcPr>
          <w:p w:rsidR="001D50EB" w:rsidRDefault="00F707B9" w:rsidP="00C222C7">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Томат паста, ГОСТ 3343-2017, не менее 750 гр. и не более 770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r w:rsidR="00C222C7">
              <w:rPr>
                <w:rFonts w:ascii="Times New Roman" w:hAnsi="Times New Roman"/>
                <w:sz w:val="20"/>
              </w:rPr>
              <w:t>.</w:t>
            </w:r>
          </w:p>
          <w:p w:rsidR="00C80516" w:rsidRDefault="00C80516" w:rsidP="00C222C7">
            <w:pPr>
              <w:widowControl w:val="0"/>
              <w:autoSpaceDE w:val="0"/>
              <w:autoSpaceDN w:val="0"/>
              <w:adjustRightInd w:val="0"/>
              <w:spacing w:after="0" w:line="240" w:lineRule="auto"/>
              <w:jc w:val="both"/>
              <w:rPr>
                <w:rFonts w:ascii="Times New Roman" w:hAnsi="Times New Roman"/>
                <w:sz w:val="20"/>
              </w:rPr>
            </w:pPr>
          </w:p>
          <w:p w:rsidR="00C80516" w:rsidRDefault="00C80516" w:rsidP="00C222C7">
            <w:pPr>
              <w:widowControl w:val="0"/>
              <w:autoSpaceDE w:val="0"/>
              <w:autoSpaceDN w:val="0"/>
              <w:adjustRightInd w:val="0"/>
              <w:spacing w:after="0" w:line="240" w:lineRule="auto"/>
              <w:jc w:val="both"/>
              <w:rPr>
                <w:rFonts w:ascii="Times New Roman" w:hAnsi="Times New Roman"/>
                <w:sz w:val="20"/>
              </w:rPr>
            </w:pPr>
          </w:p>
          <w:p w:rsidR="00C80516" w:rsidRDefault="00C80516" w:rsidP="00C222C7">
            <w:pPr>
              <w:widowControl w:val="0"/>
              <w:autoSpaceDE w:val="0"/>
              <w:autoSpaceDN w:val="0"/>
              <w:adjustRightInd w:val="0"/>
              <w:spacing w:after="0" w:line="240" w:lineRule="auto"/>
              <w:jc w:val="both"/>
              <w:rPr>
                <w:rFonts w:ascii="Times New Roman" w:hAnsi="Times New Roman"/>
                <w:sz w:val="20"/>
              </w:rPr>
            </w:pPr>
          </w:p>
          <w:p w:rsidR="00C80516" w:rsidRPr="00F707B9" w:rsidRDefault="00C80516" w:rsidP="00C222C7">
            <w:pPr>
              <w:widowControl w:val="0"/>
              <w:autoSpaceDE w:val="0"/>
              <w:autoSpaceDN w:val="0"/>
              <w:adjustRightInd w:val="0"/>
              <w:spacing w:after="0" w:line="240" w:lineRule="auto"/>
              <w:jc w:val="both"/>
              <w:rPr>
                <w:rFonts w:ascii="Times New Roman" w:hAnsi="Times New Roman"/>
                <w:sz w:val="20"/>
              </w:rPr>
            </w:pP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шт.</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542712"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682</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542712" w:rsidP="00F707B9">
            <w:pPr>
              <w:jc w:val="center"/>
              <w:rPr>
                <w:rFonts w:ascii="Times New Roman" w:hAnsi="Times New Roman" w:cs="Times New Roman"/>
                <w:b/>
                <w:sz w:val="20"/>
                <w:szCs w:val="20"/>
              </w:rPr>
            </w:pPr>
            <w:r>
              <w:rPr>
                <w:rFonts w:ascii="Times New Roman" w:hAnsi="Times New Roman" w:cs="Times New Roman"/>
                <w:b/>
                <w:sz w:val="20"/>
                <w:szCs w:val="20"/>
              </w:rPr>
              <w:t>85 250,00</w:t>
            </w:r>
          </w:p>
        </w:tc>
      </w:tr>
      <w:tr w:rsidR="00F707B9" w:rsidTr="00F707B9">
        <w:trPr>
          <w:trHeight w:val="602"/>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lastRenderedPageBreak/>
              <w:t>4.</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10.39.25.110</w:t>
            </w:r>
          </w:p>
        </w:tc>
        <w:tc>
          <w:tcPr>
            <w:tcW w:w="302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Изюм, ГОСТ 6882-88, плоды цельные, хорошо высушенные, без загрязнения, без косточек</w:t>
            </w: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110</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F707B9" w:rsidP="00F707B9">
            <w:pPr>
              <w:jc w:val="center"/>
              <w:rPr>
                <w:rFonts w:ascii="Times New Roman" w:hAnsi="Times New Roman" w:cs="Times New Roman"/>
                <w:b/>
                <w:sz w:val="20"/>
                <w:szCs w:val="20"/>
              </w:rPr>
            </w:pPr>
            <w:r>
              <w:rPr>
                <w:rFonts w:ascii="Times New Roman" w:hAnsi="Times New Roman" w:cs="Times New Roman"/>
                <w:b/>
                <w:sz w:val="20"/>
                <w:szCs w:val="20"/>
              </w:rPr>
              <w:t>21 633,70</w:t>
            </w:r>
          </w:p>
        </w:tc>
      </w:tr>
      <w:tr w:rsidR="00F707B9" w:rsidTr="004831AF">
        <w:trPr>
          <w:trHeight w:val="988"/>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10.39.25.110</w:t>
            </w:r>
          </w:p>
        </w:tc>
        <w:tc>
          <w:tcPr>
            <w:tcW w:w="302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Смесь из не менее 6 видов сухофруктов плодов и ягод,  высший сорт, плоды цельные, хорошо высушенные, без загрязнения. ГОСТ32896-2014.</w:t>
            </w: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542712"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305</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542712" w:rsidP="00F707B9">
            <w:pPr>
              <w:jc w:val="center"/>
              <w:rPr>
                <w:rFonts w:ascii="Times New Roman" w:hAnsi="Times New Roman" w:cs="Times New Roman"/>
                <w:b/>
                <w:sz w:val="20"/>
                <w:szCs w:val="20"/>
              </w:rPr>
            </w:pPr>
            <w:r>
              <w:rPr>
                <w:rFonts w:ascii="Times New Roman" w:hAnsi="Times New Roman" w:cs="Times New Roman"/>
                <w:b/>
                <w:sz w:val="20"/>
                <w:szCs w:val="20"/>
              </w:rPr>
              <w:t>46 765,65</w:t>
            </w:r>
          </w:p>
        </w:tc>
      </w:tr>
      <w:tr w:rsidR="00F707B9" w:rsidTr="00F707B9">
        <w:trPr>
          <w:trHeight w:val="585"/>
          <w:jc w:val="center"/>
        </w:trPr>
        <w:tc>
          <w:tcPr>
            <w:tcW w:w="567" w:type="dxa"/>
            <w:tcBorders>
              <w:top w:val="single" w:sz="4" w:space="0" w:color="auto"/>
              <w:left w:val="single" w:sz="4" w:space="0" w:color="auto"/>
              <w:bottom w:val="single" w:sz="4" w:space="0" w:color="auto"/>
              <w:right w:val="single" w:sz="4" w:space="0" w:color="auto"/>
            </w:tcBorders>
            <w:hideMark/>
          </w:tcPr>
          <w:p w:rsidR="00F707B9" w:rsidRDefault="00F707B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274"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10.39.25.110</w:t>
            </w:r>
          </w:p>
        </w:tc>
        <w:tc>
          <w:tcPr>
            <w:tcW w:w="302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3D512A">
            <w:pPr>
              <w:widowControl w:val="0"/>
              <w:autoSpaceDE w:val="0"/>
              <w:autoSpaceDN w:val="0"/>
              <w:adjustRightInd w:val="0"/>
              <w:spacing w:after="0" w:line="240" w:lineRule="auto"/>
              <w:jc w:val="both"/>
              <w:rPr>
                <w:rFonts w:ascii="Times New Roman" w:hAnsi="Times New Roman"/>
                <w:sz w:val="20"/>
              </w:rPr>
            </w:pPr>
            <w:r w:rsidRPr="00F707B9">
              <w:rPr>
                <w:rFonts w:ascii="Times New Roman" w:hAnsi="Times New Roman"/>
                <w:sz w:val="20"/>
              </w:rPr>
              <w:t>Шиповник. ГОСТ 1994-93,  плоды цельные, хорошо высушенные, без загрязнения</w:t>
            </w:r>
          </w:p>
        </w:tc>
        <w:tc>
          <w:tcPr>
            <w:tcW w:w="709" w:type="dxa"/>
            <w:tcBorders>
              <w:top w:val="single" w:sz="4" w:space="0" w:color="auto"/>
              <w:left w:val="single" w:sz="4" w:space="0" w:color="auto"/>
              <w:bottom w:val="single" w:sz="4" w:space="0" w:color="auto"/>
              <w:right w:val="single" w:sz="4" w:space="0" w:color="auto"/>
            </w:tcBorders>
            <w:hideMark/>
          </w:tcPr>
          <w:p w:rsidR="00F707B9" w:rsidRPr="00F707B9" w:rsidRDefault="00F707B9" w:rsidP="00F707B9">
            <w:pPr>
              <w:widowControl w:val="0"/>
              <w:autoSpaceDE w:val="0"/>
              <w:autoSpaceDN w:val="0"/>
              <w:adjustRightInd w:val="0"/>
              <w:spacing w:after="0" w:line="240" w:lineRule="auto"/>
              <w:jc w:val="center"/>
              <w:rPr>
                <w:rFonts w:ascii="Times New Roman" w:hAnsi="Times New Roman"/>
                <w:sz w:val="20"/>
              </w:rPr>
            </w:pPr>
            <w:r w:rsidRPr="00F707B9">
              <w:rPr>
                <w:rFonts w:ascii="Times New Roman" w:hAnsi="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F707B9" w:rsidRPr="00F707B9" w:rsidRDefault="00542712" w:rsidP="00F707B9">
            <w:pPr>
              <w:widowControl w:val="0"/>
              <w:autoSpaceDE w:val="0"/>
              <w:autoSpaceDN w:val="0"/>
              <w:adjustRightInd w:val="0"/>
              <w:spacing w:after="0" w:line="240" w:lineRule="auto"/>
              <w:jc w:val="center"/>
              <w:rPr>
                <w:rFonts w:ascii="Times New Roman" w:hAnsi="Times New Roman"/>
                <w:sz w:val="20"/>
              </w:rPr>
            </w:pPr>
            <w:r>
              <w:rPr>
                <w:rFonts w:ascii="Times New Roman" w:hAnsi="Times New Roman"/>
                <w:sz w:val="20"/>
              </w:rPr>
              <w:t>195</w:t>
            </w:r>
          </w:p>
        </w:tc>
        <w:tc>
          <w:tcPr>
            <w:tcW w:w="3025" w:type="dxa"/>
            <w:tcBorders>
              <w:top w:val="single" w:sz="4" w:space="0" w:color="auto"/>
              <w:left w:val="single" w:sz="4" w:space="0" w:color="auto"/>
              <w:bottom w:val="single" w:sz="4" w:space="0" w:color="auto"/>
              <w:right w:val="single" w:sz="4" w:space="0" w:color="auto"/>
            </w:tcBorders>
            <w:hideMark/>
          </w:tcPr>
          <w:p w:rsidR="00F707B9" w:rsidRPr="000B4A59" w:rsidRDefault="00542712" w:rsidP="00F707B9">
            <w:pPr>
              <w:jc w:val="center"/>
              <w:rPr>
                <w:rFonts w:ascii="Times New Roman" w:hAnsi="Times New Roman" w:cs="Times New Roman"/>
                <w:b/>
                <w:sz w:val="20"/>
                <w:szCs w:val="20"/>
              </w:rPr>
            </w:pPr>
            <w:r>
              <w:rPr>
                <w:rFonts w:ascii="Times New Roman" w:hAnsi="Times New Roman" w:cs="Times New Roman"/>
                <w:b/>
                <w:sz w:val="20"/>
                <w:szCs w:val="20"/>
              </w:rPr>
              <w:t>38 350,65</w:t>
            </w:r>
          </w:p>
        </w:tc>
      </w:tr>
      <w:tr w:rsidR="004831AF" w:rsidTr="00F707B9">
        <w:trPr>
          <w:trHeight w:val="169"/>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542712" w:rsidP="000B4A59">
            <w:pPr>
              <w:jc w:val="center"/>
              <w:rPr>
                <w:rFonts w:ascii="Times New Roman" w:hAnsi="Times New Roman" w:cs="Times New Roman"/>
                <w:b/>
                <w:sz w:val="20"/>
                <w:szCs w:val="20"/>
              </w:rPr>
            </w:pPr>
            <w:r>
              <w:rPr>
                <w:rFonts w:ascii="Times New Roman" w:hAnsi="Times New Roman" w:cs="Times New Roman"/>
                <w:b/>
                <w:sz w:val="20"/>
                <w:szCs w:val="20"/>
              </w:rPr>
              <w:t>292 261,14</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Pr>
          <w:rFonts w:ascii="Times New Roman" w:eastAsia="Times New Roman" w:hAnsi="Times New Roman" w:cs="Times New Roman"/>
        </w:rPr>
        <w:t>- и</w:t>
      </w:r>
      <w:r w:rsidRPr="00BB10AF">
        <w:rPr>
          <w:rFonts w:ascii="Times New Roman" w:eastAsia="Times New Roman" w:hAnsi="Times New Roman" w:cs="Times New Roman"/>
        </w:rPr>
        <w:t>ндекс 628260, Тюменская  область, Ханты-Мансийский автономный округ - Югра, г. Югорск, ул. Садовая, д. 1Б</w:t>
      </w:r>
      <w:r>
        <w:rPr>
          <w:rFonts w:ascii="Times New Roman" w:eastAsia="Times New Roman" w:hAnsi="Times New Roman" w:cs="Times New Roman"/>
        </w:rPr>
        <w:t>;</w:t>
      </w:r>
      <w:proofErr w:type="gramEnd"/>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 628264, Тюменская  область, Ханты-Мансийский автономн</w:t>
      </w:r>
      <w:r>
        <w:rPr>
          <w:rFonts w:ascii="Times New Roman" w:eastAsia="Times New Roman" w:hAnsi="Times New Roman" w:cs="Times New Roman"/>
        </w:rPr>
        <w:t>ый округ - Югра, г. Югорск-2, 39;</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628260, Тюменская область, Ханты-Мансийский автономный округ</w:t>
      </w:r>
      <w:r w:rsidR="00680EC8">
        <w:rPr>
          <w:rFonts w:ascii="Times New Roman" w:hAnsi="Times New Roman" w:cs="Times New Roman"/>
        </w:rPr>
        <w:t xml:space="preserve"> - Югра</w:t>
      </w:r>
      <w:r w:rsidRPr="00BB10AF">
        <w:rPr>
          <w:rFonts w:ascii="Times New Roman" w:hAnsi="Times New Roman" w:cs="Times New Roman"/>
        </w:rPr>
        <w:t>, г. Югорск, ул. Свердлова, 12</w:t>
      </w:r>
      <w:r>
        <w:rPr>
          <w:rFonts w:ascii="Times New Roman" w:hAnsi="Times New Roman" w:cs="Times New Roman"/>
        </w:rPr>
        <w:t>;</w:t>
      </w:r>
    </w:p>
    <w:p w:rsidR="000B4A59" w:rsidRPr="00BB10AF" w:rsidRDefault="000B4A59" w:rsidP="000B4A59">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и</w:t>
      </w:r>
      <w:r w:rsidRPr="00BB10AF">
        <w:rPr>
          <w:rFonts w:ascii="Times New Roman" w:eastAsia="Times New Roman" w:hAnsi="Times New Roman" w:cs="Times New Roman"/>
        </w:rPr>
        <w:t>ндекс</w:t>
      </w:r>
      <w:r w:rsidRPr="00BB10AF">
        <w:rPr>
          <w:rFonts w:ascii="Times New Roman" w:hAnsi="Times New Roman" w:cs="Times New Roman"/>
        </w:rPr>
        <w:t xml:space="preserve"> 628264, Тюменская  область, Ханты-Мансийский автономн</w:t>
      </w:r>
      <w:r>
        <w:rPr>
          <w:rFonts w:ascii="Times New Roman" w:hAnsi="Times New Roman" w:cs="Times New Roman"/>
        </w:rPr>
        <w:t xml:space="preserve">ый округ - Югра, г. Югорск-2, </w:t>
      </w:r>
      <w:r w:rsidRPr="00BB10AF">
        <w:rPr>
          <w:rFonts w:ascii="Times New Roman" w:hAnsi="Times New Roman" w:cs="Times New Roman"/>
        </w:rPr>
        <w:t>38.</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 xml:space="preserve">гражданско-правового договора </w:t>
      </w:r>
      <w:r w:rsidRPr="00BB10AF">
        <w:rPr>
          <w:rFonts w:ascii="Times New Roman" w:hAnsi="Times New Roman" w:cs="Times New Roman"/>
        </w:rPr>
        <w:t>по 31.12.2020</w:t>
      </w:r>
      <w:r w:rsidR="00F707B9">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Расчет за поставленный товар осуществляется в течение 30 (тридцат</w:t>
      </w:r>
      <w:r>
        <w:rPr>
          <w:rFonts w:ascii="Times New Roman" w:eastAsia="Times New Roman" w:hAnsi="Times New Roman" w:cs="Times New Roman"/>
          <w:iCs/>
        </w:rPr>
        <w:t>и</w:t>
      </w:r>
      <w:r w:rsidRPr="00BB10AF">
        <w:rPr>
          <w:rFonts w:ascii="Times New Roman" w:eastAsia="Times New Roman" w:hAnsi="Times New Roman" w:cs="Times New Roman"/>
          <w:iCs/>
        </w:rPr>
        <w:t>)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BB10AF">
        <w:rPr>
          <w:rFonts w:ascii="Times New Roman" w:hAnsi="Times New Roman" w:cs="Times New Roman"/>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highlight w:val="yellow"/>
        </w:rPr>
      </w:pPr>
      <w:r w:rsidRPr="00BB10AF">
        <w:rPr>
          <w:rFonts w:ascii="Times New Roman" w:hAnsi="Times New Roman"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BB10AF">
        <w:rPr>
          <w:rFonts w:ascii="Times New Roman" w:hAnsi="Times New Roman" w:cs="Times New Roman"/>
          <w:b/>
        </w:rPr>
        <w:t>не установлено</w:t>
      </w:r>
      <w:r w:rsidRPr="00BB10AF">
        <w:rPr>
          <w:rFonts w:ascii="Times New Roman" w:hAnsi="Times New Roman" w:cs="Times New Roman"/>
        </w:rPr>
        <w:t>.</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15.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16. Участник закупки, </w:t>
      </w:r>
      <w:r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Pr="00BB10AF">
        <w:rPr>
          <w:rFonts w:ascii="Times New Roman" w:hAnsi="Times New Roman" w:cs="Times New Roman"/>
          <w:i/>
          <w:color w:val="000000" w:themeColor="text1"/>
          <w:shd w:val="clear" w:color="auto" w:fill="F3F1E9"/>
        </w:rPr>
        <w:t> </w:t>
      </w:r>
      <w:r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Pr="00BB10AF">
        <w:rPr>
          <w:rFonts w:ascii="Times New Roman" w:hAnsi="Times New Roman" w:cs="Times New Roman"/>
          <w:b/>
          <w:u w:val="single"/>
        </w:rPr>
        <w:t>до 10 часов 00 минут «</w:t>
      </w:r>
      <w:r w:rsidR="002279F2">
        <w:rPr>
          <w:rFonts w:ascii="Times New Roman" w:hAnsi="Times New Roman" w:cs="Times New Roman"/>
          <w:b/>
          <w:u w:val="single"/>
        </w:rPr>
        <w:t>30</w:t>
      </w:r>
      <w:r w:rsidRPr="00BB10AF">
        <w:rPr>
          <w:rFonts w:ascii="Times New Roman" w:hAnsi="Times New Roman" w:cs="Times New Roman"/>
          <w:b/>
          <w:u w:val="single"/>
        </w:rPr>
        <w:t xml:space="preserve">»   </w:t>
      </w:r>
      <w:r w:rsidR="002279F2">
        <w:t xml:space="preserve">июня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18.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2279F2">
        <w:rPr>
          <w:rFonts w:ascii="Times New Roman" w:hAnsi="Times New Roman" w:cs="Times New Roman"/>
          <w:b/>
          <w:u w:val="single"/>
        </w:rPr>
        <w:t>02</w:t>
      </w:r>
      <w:r w:rsidRPr="00BB10AF">
        <w:rPr>
          <w:rFonts w:ascii="Times New Roman" w:hAnsi="Times New Roman" w:cs="Times New Roman"/>
          <w:b/>
          <w:u w:val="single"/>
        </w:rPr>
        <w:t xml:space="preserve">»    </w:t>
      </w:r>
      <w:r w:rsidR="002279F2">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19. Дата проведения аукциона в электронной форме: </w:t>
      </w:r>
      <w:r w:rsidRPr="00BB10AF">
        <w:rPr>
          <w:rFonts w:ascii="Times New Roman" w:hAnsi="Times New Roman" w:cs="Times New Roman"/>
          <w:b/>
          <w:u w:val="single"/>
        </w:rPr>
        <w:t>«</w:t>
      </w:r>
      <w:r w:rsidR="002279F2">
        <w:rPr>
          <w:rFonts w:ascii="Times New Roman" w:hAnsi="Times New Roman" w:cs="Times New Roman"/>
          <w:b/>
          <w:u w:val="single"/>
        </w:rPr>
        <w:t>03</w:t>
      </w:r>
      <w:r w:rsidRPr="00BB10AF">
        <w:rPr>
          <w:rFonts w:ascii="Times New Roman" w:hAnsi="Times New Roman" w:cs="Times New Roman"/>
          <w:b/>
          <w:u w:val="single"/>
        </w:rPr>
        <w:t xml:space="preserve"> »   </w:t>
      </w:r>
      <w:r w:rsidR="002279F2">
        <w:t xml:space="preserve">июля  </w:t>
      </w:r>
      <w:r w:rsidRPr="00BB10AF">
        <w:rPr>
          <w:rFonts w:ascii="Times New Roman" w:hAnsi="Times New Roman" w:cs="Times New Roman"/>
          <w:b/>
          <w:u w:val="single"/>
        </w:rPr>
        <w:t xml:space="preserve">  2020 года</w:t>
      </w:r>
      <w:r w:rsidRPr="00BB10AF">
        <w:rPr>
          <w:rFonts w:ascii="Times New Roman" w:hAnsi="Times New Roman" w:cs="Times New Roman"/>
        </w:rPr>
        <w:t>.</w:t>
      </w:r>
    </w:p>
    <w:p w:rsidR="000B4A59" w:rsidRPr="00BB10AF" w:rsidRDefault="000B4A59" w:rsidP="000B4A59">
      <w:pPr>
        <w:spacing w:after="0" w:line="240" w:lineRule="auto"/>
        <w:ind w:left="284" w:hanging="284"/>
        <w:jc w:val="both"/>
        <w:rPr>
          <w:rFonts w:ascii="Times New Roman" w:hAnsi="Times New Roman" w:cs="Times New Roman"/>
          <w:i/>
        </w:rPr>
      </w:pPr>
      <w:r w:rsidRPr="00BB10AF">
        <w:rPr>
          <w:rFonts w:ascii="Times New Roman" w:hAnsi="Times New Roman" w:cs="Times New Roman"/>
        </w:rPr>
        <w:t>20. Преимущества, предоставляемые осуществляющим производство товаров, выполнение работ, оказание услуг учреждениям и предприятиям уголовно-</w:t>
      </w:r>
      <w:bookmarkStart w:id="0" w:name="_GoBack"/>
      <w:bookmarkEnd w:id="0"/>
      <w:r w:rsidRPr="00BB10AF">
        <w:rPr>
          <w:rFonts w:ascii="Times New Roman" w:hAnsi="Times New Roman" w:cs="Times New Roman"/>
        </w:rPr>
        <w:t xml:space="preserve">исполнительной системы: </w:t>
      </w:r>
      <w:r w:rsidRPr="00BB10AF">
        <w:rPr>
          <w:rFonts w:ascii="Times New Roman" w:hAnsi="Times New Roman" w:cs="Times New Roman"/>
          <w:b/>
        </w:rPr>
        <w:t>предоставляются. Размер до 15% от цены договора.</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lastRenderedPageBreak/>
        <w:t xml:space="preserve">21.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color w:val="FF0000"/>
        </w:rPr>
      </w:pPr>
      <w:r w:rsidRPr="00BB10AF">
        <w:rPr>
          <w:rFonts w:ascii="Times New Roman" w:hAnsi="Times New Roman" w:cs="Times New Roman"/>
        </w:rPr>
        <w:t>22. Размер и порядок внесения денежных сре</w:t>
      </w:r>
      <w:proofErr w:type="gramStart"/>
      <w:r w:rsidRPr="00BB10AF">
        <w:rPr>
          <w:rFonts w:ascii="Times New Roman" w:hAnsi="Times New Roman" w:cs="Times New Roman"/>
        </w:rPr>
        <w:t>дств в к</w:t>
      </w:r>
      <w:proofErr w:type="gramEnd"/>
      <w:r w:rsidRPr="00BB10AF">
        <w:rPr>
          <w:rFonts w:ascii="Times New Roman" w:hAnsi="Times New Roman" w:cs="Times New Roman"/>
        </w:rPr>
        <w:t>ачестве обеспечения заявок на участие в закупке, а также условия банковской гарантии:</w:t>
      </w:r>
    </w:p>
    <w:p w:rsidR="002A0DC6"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 xml:space="preserve">Размер обеспечения заявки на участие в закупке: </w:t>
      </w:r>
      <w:r w:rsidR="00542712">
        <w:rPr>
          <w:rFonts w:ascii="Times New Roman" w:hAnsi="Times New Roman" w:cs="Times New Roman"/>
          <w:b/>
        </w:rPr>
        <w:t>2 922 (две тысячи девятьсот двадцать два) рубля 61 копейка</w:t>
      </w:r>
      <w:r w:rsidRPr="00BB10AF">
        <w:rPr>
          <w:rFonts w:ascii="Times New Roman" w:hAnsi="Times New Roman" w:cs="Times New Roman"/>
          <w:b/>
        </w:rPr>
        <w:t xml:space="preserve">. </w:t>
      </w:r>
      <w:r w:rsidR="006A765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23.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24.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составляет </w:t>
      </w:r>
      <w:r w:rsidR="00542712">
        <w:rPr>
          <w:rFonts w:ascii="Times New Roman" w:hAnsi="Times New Roman" w:cs="Times New Roman"/>
          <w:b/>
        </w:rPr>
        <w:t>14 613 (четырнадцать тысяч шестьсот тринадцать) рублей 06</w:t>
      </w:r>
      <w:r w:rsidR="000C5150" w:rsidRPr="000C5150">
        <w:rPr>
          <w:rFonts w:ascii="Times New Roman" w:hAnsi="Times New Roman" w:cs="Times New Roman"/>
          <w:b/>
        </w:rPr>
        <w:t xml:space="preserve"> копеек</w:t>
      </w:r>
      <w:r w:rsidRPr="00BB10AF">
        <w:rPr>
          <w:rFonts w:ascii="Times New Roman" w:hAnsi="Times New Roman" w:cs="Times New Roman"/>
          <w:b/>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w:t>
      </w:r>
      <w:r w:rsidRPr="00E776C1">
        <w:rPr>
          <w:rFonts w:ascii="Times New Roman" w:hAnsi="Times New Roman" w:cs="Times New Roman"/>
        </w:rPr>
        <w:lastRenderedPageBreak/>
        <w:t xml:space="preserve">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0C5150">
        <w:rPr>
          <w:rFonts w:ascii="Times New Roman" w:eastAsia="Times New Roman" w:hAnsi="Times New Roman" w:cs="Times New Roman"/>
          <w:b/>
        </w:rPr>
        <w:t>сухофрукты</w:t>
      </w:r>
      <w:r w:rsidR="00C32CC7">
        <w:rPr>
          <w:rFonts w:ascii="Times New Roman" w:eastAsia="Times New Roman" w:hAnsi="Times New Roman" w:cs="Times New Roman"/>
          <w:b/>
        </w:rPr>
        <w:t>, томатная паста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F42B84">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w:t>
      </w:r>
      <w:r w:rsidRPr="00BB10AF">
        <w:rPr>
          <w:rFonts w:ascii="Times New Roman" w:hAnsi="Times New Roman" w:cs="Times New Roman"/>
        </w:rPr>
        <w:lastRenderedPageBreak/>
        <w:t>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222C7" w:rsidRPr="00BB10AF" w:rsidRDefault="00C222C7" w:rsidP="00C222C7">
      <w:pPr>
        <w:pStyle w:val="a6"/>
        <w:ind w:left="284" w:hanging="284"/>
        <w:jc w:val="both"/>
        <w:rPr>
          <w:rFonts w:ascii="Times New Roman" w:hAnsi="Times New Roman" w:cs="Times New Roman"/>
        </w:rPr>
      </w:pPr>
      <w:r w:rsidRPr="00BB10AF">
        <w:rPr>
          <w:rFonts w:ascii="Times New Roman" w:hAnsi="Times New Roman" w:cs="Times New Roman"/>
        </w:rPr>
        <w:t>2</w:t>
      </w:r>
      <w:r w:rsidR="00F42B84">
        <w:rPr>
          <w:rFonts w:ascii="Times New Roman" w:hAnsi="Times New Roman" w:cs="Times New Roman"/>
        </w:rPr>
        <w:t>5</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222C7" w:rsidRPr="00E776C1" w:rsidRDefault="00C222C7" w:rsidP="00C222C7">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222C7" w:rsidRPr="00E776C1" w:rsidRDefault="00C222C7" w:rsidP="00C222C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222C7" w:rsidRPr="00E776C1" w:rsidRDefault="00C222C7" w:rsidP="00C222C7">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222C7" w:rsidRPr="00E776C1" w:rsidRDefault="00C222C7" w:rsidP="00C222C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C222C7" w:rsidRPr="00E776C1" w:rsidRDefault="00C222C7" w:rsidP="00C222C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F42B84">
        <w:rPr>
          <w:rFonts w:ascii="Times New Roman" w:hAnsi="Times New Roman" w:cs="Times New Roman"/>
          <w:b/>
        </w:rPr>
        <w:t>Не у</w:t>
      </w:r>
      <w:r w:rsidRPr="00E776C1">
        <w:rPr>
          <w:rFonts w:ascii="Times New Roman" w:hAnsi="Times New Roman" w:cs="Times New Roman"/>
          <w:b/>
        </w:rPr>
        <w:t>становлено;</w:t>
      </w:r>
      <w:proofErr w:type="gramEnd"/>
    </w:p>
    <w:p w:rsidR="00C222C7" w:rsidRPr="00E776C1" w:rsidRDefault="00C222C7" w:rsidP="00C222C7">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C222C7" w:rsidRPr="00E776C1" w:rsidRDefault="00C222C7" w:rsidP="00C222C7">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C222C7" w:rsidRDefault="00C222C7" w:rsidP="00C222C7">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C222C7" w:rsidRDefault="00C222C7" w:rsidP="00C222C7">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222C7" w:rsidRPr="00CF3E97" w:rsidRDefault="00C222C7" w:rsidP="00C222C7">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Pr="00CF3E97">
        <w:rPr>
          <w:rFonts w:ascii="Times New Roman" w:hAnsi="Times New Roman" w:cs="Times New Roman"/>
          <w:b/>
        </w:rPr>
        <w:t xml:space="preserve"> </w:t>
      </w:r>
      <w:r>
        <w:rPr>
          <w:rFonts w:ascii="Times New Roman" w:hAnsi="Times New Roman" w:cs="Times New Roman"/>
        </w:rPr>
        <w:t xml:space="preserve"> </w:t>
      </w:r>
    </w:p>
    <w:p w:rsidR="00F42B84" w:rsidRDefault="00F42B84" w:rsidP="00542A62">
      <w:pPr>
        <w:spacing w:after="0" w:line="240" w:lineRule="auto"/>
        <w:jc w:val="both"/>
        <w:rPr>
          <w:rFonts w:ascii="Times New Roman" w:hAnsi="Times New Roman" w:cs="Times New Roman"/>
        </w:rPr>
      </w:pPr>
    </w:p>
    <w:p w:rsidR="00A254D8" w:rsidRPr="00542A62" w:rsidRDefault="002A0DC6" w:rsidP="00542A62">
      <w:pPr>
        <w:spacing w:after="0" w:line="240" w:lineRule="auto"/>
        <w:jc w:val="both"/>
        <w:rPr>
          <w:rFonts w:ascii="Times New Roman" w:hAnsi="Times New Roman" w:cs="Times New Roman"/>
        </w:rPr>
      </w:pPr>
      <w:r>
        <w:rPr>
          <w:rFonts w:ascii="Times New Roman" w:hAnsi="Times New Roman" w:cs="Times New Roman"/>
        </w:rPr>
        <w:lastRenderedPageBreak/>
        <w:t>Д</w:t>
      </w:r>
      <w:r w:rsidR="00A254D8" w:rsidRPr="00542A62">
        <w:rPr>
          <w:rFonts w:ascii="Times New Roman" w:hAnsi="Times New Roman" w:cs="Times New Roman"/>
        </w:rPr>
        <w:t>иректор</w:t>
      </w:r>
      <w:r>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4531F8" w:rsidRPr="00542A62" w:rsidRDefault="00A254D8" w:rsidP="00C222C7">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05BD3"/>
    <w:rsid w:val="000105FA"/>
    <w:rsid w:val="000367B7"/>
    <w:rsid w:val="00052630"/>
    <w:rsid w:val="00054052"/>
    <w:rsid w:val="00057299"/>
    <w:rsid w:val="00070D1A"/>
    <w:rsid w:val="00085FF7"/>
    <w:rsid w:val="00090535"/>
    <w:rsid w:val="000940FE"/>
    <w:rsid w:val="00096D2E"/>
    <w:rsid w:val="000B4A59"/>
    <w:rsid w:val="000B5445"/>
    <w:rsid w:val="000C0600"/>
    <w:rsid w:val="000C5150"/>
    <w:rsid w:val="000E33BD"/>
    <w:rsid w:val="000E5F64"/>
    <w:rsid w:val="000E6875"/>
    <w:rsid w:val="000F2C69"/>
    <w:rsid w:val="000F75DB"/>
    <w:rsid w:val="00106B5B"/>
    <w:rsid w:val="0011452B"/>
    <w:rsid w:val="00132E54"/>
    <w:rsid w:val="00133721"/>
    <w:rsid w:val="00160F75"/>
    <w:rsid w:val="00165683"/>
    <w:rsid w:val="00165B65"/>
    <w:rsid w:val="001725BF"/>
    <w:rsid w:val="001A134C"/>
    <w:rsid w:val="001B738A"/>
    <w:rsid w:val="001C35E8"/>
    <w:rsid w:val="001D26A3"/>
    <w:rsid w:val="001D50EB"/>
    <w:rsid w:val="001E7D99"/>
    <w:rsid w:val="001F2780"/>
    <w:rsid w:val="001F63E2"/>
    <w:rsid w:val="00202855"/>
    <w:rsid w:val="00206BB5"/>
    <w:rsid w:val="00211EB8"/>
    <w:rsid w:val="00225411"/>
    <w:rsid w:val="00226CAF"/>
    <w:rsid w:val="002279F2"/>
    <w:rsid w:val="00233B13"/>
    <w:rsid w:val="0024052D"/>
    <w:rsid w:val="00244537"/>
    <w:rsid w:val="00246D05"/>
    <w:rsid w:val="0025205D"/>
    <w:rsid w:val="002531CB"/>
    <w:rsid w:val="00274539"/>
    <w:rsid w:val="00274DFF"/>
    <w:rsid w:val="002765C0"/>
    <w:rsid w:val="00282F94"/>
    <w:rsid w:val="0029189C"/>
    <w:rsid w:val="00294E28"/>
    <w:rsid w:val="002974AA"/>
    <w:rsid w:val="002A0DC6"/>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10"/>
    <w:rsid w:val="00542712"/>
    <w:rsid w:val="00542A62"/>
    <w:rsid w:val="00544924"/>
    <w:rsid w:val="00553D3E"/>
    <w:rsid w:val="00580E3A"/>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518FB"/>
    <w:rsid w:val="00653EBC"/>
    <w:rsid w:val="00660EC5"/>
    <w:rsid w:val="006651A6"/>
    <w:rsid w:val="00680EC8"/>
    <w:rsid w:val="00684BC9"/>
    <w:rsid w:val="00691A44"/>
    <w:rsid w:val="006A092C"/>
    <w:rsid w:val="006A369D"/>
    <w:rsid w:val="006A4E8F"/>
    <w:rsid w:val="006A5628"/>
    <w:rsid w:val="006A5F49"/>
    <w:rsid w:val="006A7659"/>
    <w:rsid w:val="006B28B6"/>
    <w:rsid w:val="006B52D3"/>
    <w:rsid w:val="006C3196"/>
    <w:rsid w:val="006D3300"/>
    <w:rsid w:val="006D535F"/>
    <w:rsid w:val="006E11FC"/>
    <w:rsid w:val="006E5611"/>
    <w:rsid w:val="0071103C"/>
    <w:rsid w:val="00712FE2"/>
    <w:rsid w:val="00716A70"/>
    <w:rsid w:val="00716C26"/>
    <w:rsid w:val="00741DBB"/>
    <w:rsid w:val="007461F5"/>
    <w:rsid w:val="00756BD3"/>
    <w:rsid w:val="00762B9A"/>
    <w:rsid w:val="0076650A"/>
    <w:rsid w:val="0077232A"/>
    <w:rsid w:val="00775685"/>
    <w:rsid w:val="007960CD"/>
    <w:rsid w:val="007A5583"/>
    <w:rsid w:val="007A5D2C"/>
    <w:rsid w:val="007C255B"/>
    <w:rsid w:val="007D0173"/>
    <w:rsid w:val="007E2726"/>
    <w:rsid w:val="007E61B3"/>
    <w:rsid w:val="007F04C7"/>
    <w:rsid w:val="007F064A"/>
    <w:rsid w:val="007F3BA0"/>
    <w:rsid w:val="00801462"/>
    <w:rsid w:val="00827783"/>
    <w:rsid w:val="00831B81"/>
    <w:rsid w:val="00845AF7"/>
    <w:rsid w:val="00851DFB"/>
    <w:rsid w:val="00870CF8"/>
    <w:rsid w:val="00873CC5"/>
    <w:rsid w:val="0087471D"/>
    <w:rsid w:val="00880115"/>
    <w:rsid w:val="00880C2C"/>
    <w:rsid w:val="0089264F"/>
    <w:rsid w:val="008A227B"/>
    <w:rsid w:val="008B0494"/>
    <w:rsid w:val="008B3717"/>
    <w:rsid w:val="008B3D24"/>
    <w:rsid w:val="008D2428"/>
    <w:rsid w:val="008E6D8D"/>
    <w:rsid w:val="008F5536"/>
    <w:rsid w:val="00903205"/>
    <w:rsid w:val="00907B68"/>
    <w:rsid w:val="00920E5A"/>
    <w:rsid w:val="00925040"/>
    <w:rsid w:val="009536B9"/>
    <w:rsid w:val="00967392"/>
    <w:rsid w:val="00970E5F"/>
    <w:rsid w:val="00985AD9"/>
    <w:rsid w:val="00985B40"/>
    <w:rsid w:val="00992EA4"/>
    <w:rsid w:val="00993BF4"/>
    <w:rsid w:val="009C14E4"/>
    <w:rsid w:val="009D4AE6"/>
    <w:rsid w:val="009D6CB3"/>
    <w:rsid w:val="009F250B"/>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3FAC"/>
    <w:rsid w:val="00BA6544"/>
    <w:rsid w:val="00BA7FC9"/>
    <w:rsid w:val="00BB3DCF"/>
    <w:rsid w:val="00BB4043"/>
    <w:rsid w:val="00BC3214"/>
    <w:rsid w:val="00BD2E00"/>
    <w:rsid w:val="00BE0F6C"/>
    <w:rsid w:val="00BE566A"/>
    <w:rsid w:val="00BE7725"/>
    <w:rsid w:val="00BF2A89"/>
    <w:rsid w:val="00C054BB"/>
    <w:rsid w:val="00C0760F"/>
    <w:rsid w:val="00C222C7"/>
    <w:rsid w:val="00C236D1"/>
    <w:rsid w:val="00C32CC7"/>
    <w:rsid w:val="00C35B06"/>
    <w:rsid w:val="00C52BB9"/>
    <w:rsid w:val="00C539B3"/>
    <w:rsid w:val="00C71368"/>
    <w:rsid w:val="00C80516"/>
    <w:rsid w:val="00C87014"/>
    <w:rsid w:val="00C93BC2"/>
    <w:rsid w:val="00C97549"/>
    <w:rsid w:val="00C97A13"/>
    <w:rsid w:val="00CA121A"/>
    <w:rsid w:val="00CA73C4"/>
    <w:rsid w:val="00CA77A9"/>
    <w:rsid w:val="00CA7D84"/>
    <w:rsid w:val="00CC5431"/>
    <w:rsid w:val="00CC5A71"/>
    <w:rsid w:val="00CD5FD0"/>
    <w:rsid w:val="00CF1F33"/>
    <w:rsid w:val="00CF3E97"/>
    <w:rsid w:val="00D02B98"/>
    <w:rsid w:val="00D03334"/>
    <w:rsid w:val="00D04A87"/>
    <w:rsid w:val="00D426B6"/>
    <w:rsid w:val="00D513DA"/>
    <w:rsid w:val="00D56496"/>
    <w:rsid w:val="00D622D0"/>
    <w:rsid w:val="00D67EC9"/>
    <w:rsid w:val="00D70DEB"/>
    <w:rsid w:val="00D77528"/>
    <w:rsid w:val="00D847C4"/>
    <w:rsid w:val="00D93E1C"/>
    <w:rsid w:val="00DA7DD7"/>
    <w:rsid w:val="00DB3E33"/>
    <w:rsid w:val="00DB5247"/>
    <w:rsid w:val="00DC4D3C"/>
    <w:rsid w:val="00DD54C4"/>
    <w:rsid w:val="00DE2555"/>
    <w:rsid w:val="00DE347A"/>
    <w:rsid w:val="00DF2BFE"/>
    <w:rsid w:val="00DF6222"/>
    <w:rsid w:val="00DF64A3"/>
    <w:rsid w:val="00E01A07"/>
    <w:rsid w:val="00E1209A"/>
    <w:rsid w:val="00E2772A"/>
    <w:rsid w:val="00E4141B"/>
    <w:rsid w:val="00E4556C"/>
    <w:rsid w:val="00E46673"/>
    <w:rsid w:val="00E64555"/>
    <w:rsid w:val="00E6604E"/>
    <w:rsid w:val="00E730C4"/>
    <w:rsid w:val="00E74349"/>
    <w:rsid w:val="00E84C3B"/>
    <w:rsid w:val="00E8530E"/>
    <w:rsid w:val="00E93733"/>
    <w:rsid w:val="00EA0F86"/>
    <w:rsid w:val="00EB7A53"/>
    <w:rsid w:val="00EC2B83"/>
    <w:rsid w:val="00EC2F95"/>
    <w:rsid w:val="00EE77A3"/>
    <w:rsid w:val="00EF3B21"/>
    <w:rsid w:val="00EF748B"/>
    <w:rsid w:val="00F300A7"/>
    <w:rsid w:val="00F30ECC"/>
    <w:rsid w:val="00F32703"/>
    <w:rsid w:val="00F403D4"/>
    <w:rsid w:val="00F42B84"/>
    <w:rsid w:val="00F46EBC"/>
    <w:rsid w:val="00F51CF5"/>
    <w:rsid w:val="00F5235C"/>
    <w:rsid w:val="00F56C98"/>
    <w:rsid w:val="00F620F4"/>
    <w:rsid w:val="00F644F5"/>
    <w:rsid w:val="00F707B9"/>
    <w:rsid w:val="00F7141D"/>
    <w:rsid w:val="00F73735"/>
    <w:rsid w:val="00F75802"/>
    <w:rsid w:val="00F81D1A"/>
    <w:rsid w:val="00F8739C"/>
    <w:rsid w:val="00F90779"/>
    <w:rsid w:val="00F93594"/>
    <w:rsid w:val="00F94FC9"/>
    <w:rsid w:val="00FA1A0F"/>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70DE-454E-458E-9554-A3FB50D3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3765</Words>
  <Characters>21464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18</cp:revision>
  <cp:lastPrinted>2020-05-19T05:52:00Z</cp:lastPrinted>
  <dcterms:created xsi:type="dcterms:W3CDTF">2020-01-22T06:14:00Z</dcterms:created>
  <dcterms:modified xsi:type="dcterms:W3CDTF">2020-06-22T06:49:00Z</dcterms:modified>
</cp:coreProperties>
</file>