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55" w:rsidRDefault="00381855" w:rsidP="003818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381855" w:rsidRDefault="00381855" w:rsidP="003818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81855" w:rsidRDefault="00381855" w:rsidP="003818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381855" w:rsidRDefault="00381855" w:rsidP="003818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381855" w:rsidRDefault="00381855" w:rsidP="00381855">
      <w:pPr>
        <w:ind w:left="-993"/>
        <w:jc w:val="both"/>
        <w:rPr>
          <w:sz w:val="24"/>
        </w:rPr>
      </w:pP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 xml:space="preserve">«04» октября 2018 г.                                                       </w:t>
      </w:r>
      <w:r w:rsidR="00214290">
        <w:rPr>
          <w:sz w:val="24"/>
        </w:rPr>
        <w:t xml:space="preserve">                      </w:t>
      </w:r>
      <w:r>
        <w:rPr>
          <w:sz w:val="24"/>
        </w:rPr>
        <w:t xml:space="preserve">  № 0187300005818000331-1</w:t>
      </w:r>
    </w:p>
    <w:p w:rsidR="00381855" w:rsidRDefault="00381855" w:rsidP="00214290">
      <w:pPr>
        <w:ind w:left="567"/>
        <w:jc w:val="both"/>
        <w:rPr>
          <w:sz w:val="24"/>
          <w:szCs w:val="22"/>
        </w:rPr>
      </w:pPr>
    </w:p>
    <w:p w:rsidR="00214290" w:rsidRPr="00360972" w:rsidRDefault="00214290" w:rsidP="00214290">
      <w:pPr>
        <w:tabs>
          <w:tab w:val="left" w:pos="284"/>
          <w:tab w:val="left" w:pos="709"/>
        </w:tabs>
        <w:ind w:left="567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ПРИСУТСТВОВАЛИ: </w:t>
      </w:r>
    </w:p>
    <w:p w:rsidR="00214290" w:rsidRPr="00360972" w:rsidRDefault="00214290" w:rsidP="00214290">
      <w:pPr>
        <w:tabs>
          <w:tab w:val="left" w:pos="284"/>
          <w:tab w:val="left" w:pos="709"/>
        </w:tabs>
        <w:ind w:left="567" w:right="142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 xml:space="preserve"> (далее - комиссия) в следующем  составе:</w:t>
      </w:r>
    </w:p>
    <w:p w:rsidR="00214290" w:rsidRPr="00360972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sz w:val="24"/>
          <w:szCs w:val="24"/>
        </w:rPr>
      </w:pPr>
      <w:r w:rsidRPr="00360972">
        <w:rPr>
          <w:spacing w:val="-6"/>
          <w:sz w:val="24"/>
          <w:szCs w:val="24"/>
        </w:rPr>
        <w:t xml:space="preserve">С.Д. </w:t>
      </w:r>
      <w:proofErr w:type="spellStart"/>
      <w:r w:rsidRPr="00360972">
        <w:rPr>
          <w:spacing w:val="-6"/>
          <w:sz w:val="24"/>
          <w:szCs w:val="24"/>
        </w:rPr>
        <w:t>Голин</w:t>
      </w:r>
      <w:proofErr w:type="spellEnd"/>
      <w:r w:rsidRPr="00360972">
        <w:rPr>
          <w:spacing w:val="-6"/>
          <w:sz w:val="24"/>
          <w:szCs w:val="24"/>
        </w:rPr>
        <w:t xml:space="preserve"> - </w:t>
      </w:r>
      <w:r w:rsidRPr="00360972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214290" w:rsidRPr="00360972" w:rsidRDefault="00214290" w:rsidP="00214290">
      <w:pPr>
        <w:pStyle w:val="a5"/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Члены комиссии:</w:t>
      </w:r>
    </w:p>
    <w:p w:rsidR="00214290" w:rsidRPr="00360972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В.К. </w:t>
      </w:r>
      <w:proofErr w:type="spellStart"/>
      <w:r w:rsidRPr="00360972">
        <w:rPr>
          <w:sz w:val="24"/>
          <w:szCs w:val="24"/>
        </w:rPr>
        <w:t>Бандурин</w:t>
      </w:r>
      <w:proofErr w:type="spellEnd"/>
      <w:r w:rsidRPr="00360972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60972">
        <w:rPr>
          <w:sz w:val="24"/>
          <w:szCs w:val="24"/>
        </w:rPr>
        <w:t>жилищно</w:t>
      </w:r>
      <w:proofErr w:type="spellEnd"/>
      <w:r w:rsidRPr="00360972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214290" w:rsidRPr="00360972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Т.И. </w:t>
      </w:r>
      <w:proofErr w:type="spellStart"/>
      <w:r w:rsidRPr="00360972">
        <w:rPr>
          <w:sz w:val="24"/>
          <w:szCs w:val="24"/>
        </w:rPr>
        <w:t>Долгодворова</w:t>
      </w:r>
      <w:proofErr w:type="spellEnd"/>
      <w:r w:rsidRPr="00360972">
        <w:rPr>
          <w:sz w:val="24"/>
          <w:szCs w:val="24"/>
        </w:rPr>
        <w:t xml:space="preserve"> - заместитель главы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214290" w:rsidRPr="00360972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Н.А. Морозова - советник руководителя;</w:t>
      </w:r>
    </w:p>
    <w:p w:rsidR="00214290" w:rsidRPr="00360972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Ж.В. </w:t>
      </w:r>
      <w:proofErr w:type="spellStart"/>
      <w:r w:rsidRPr="00360972">
        <w:rPr>
          <w:sz w:val="24"/>
          <w:szCs w:val="24"/>
        </w:rPr>
        <w:t>Резинкина</w:t>
      </w:r>
      <w:proofErr w:type="spellEnd"/>
      <w:r w:rsidRPr="00360972">
        <w:rPr>
          <w:sz w:val="24"/>
          <w:szCs w:val="24"/>
        </w:rPr>
        <w:t xml:space="preserve"> </w:t>
      </w:r>
      <w:r w:rsidRPr="00360972">
        <w:rPr>
          <w:bCs/>
          <w:sz w:val="24"/>
          <w:szCs w:val="24"/>
        </w:rPr>
        <w:t xml:space="preserve">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60972">
        <w:rPr>
          <w:bCs/>
          <w:sz w:val="24"/>
          <w:szCs w:val="24"/>
        </w:rPr>
        <w:t>Югорска</w:t>
      </w:r>
      <w:proofErr w:type="spellEnd"/>
      <w:r w:rsidRPr="00360972">
        <w:rPr>
          <w:bCs/>
          <w:sz w:val="24"/>
          <w:szCs w:val="24"/>
        </w:rPr>
        <w:t>;</w:t>
      </w:r>
    </w:p>
    <w:p w:rsidR="00214290" w:rsidRPr="00360972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214290" w:rsidRPr="00360972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</w:p>
    <w:p w:rsidR="00214290" w:rsidRPr="00CB7FED" w:rsidRDefault="00214290" w:rsidP="00214290">
      <w:pPr>
        <w:pStyle w:val="a5"/>
        <w:tabs>
          <w:tab w:val="left" w:pos="284"/>
          <w:tab w:val="left" w:pos="709"/>
        </w:tabs>
        <w:autoSpaceDE w:val="0"/>
        <w:autoSpaceDN w:val="0"/>
        <w:adjustRightInd w:val="0"/>
        <w:ind w:left="567" w:right="142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Всего присутствовали 7  членов комиссии из 8.</w:t>
      </w:r>
    </w:p>
    <w:p w:rsidR="00381855" w:rsidRDefault="00381855" w:rsidP="00214290">
      <w:pPr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spacing w:val="-6"/>
          <w:sz w:val="24"/>
          <w:szCs w:val="24"/>
        </w:rPr>
        <w:t>Прошкина</w:t>
      </w:r>
      <w:proofErr w:type="spellEnd"/>
      <w:r>
        <w:rPr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. </w:t>
      </w:r>
    </w:p>
    <w:p w:rsidR="00381855" w:rsidRDefault="00381855" w:rsidP="00214290">
      <w:pPr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1. Наименование аукциона: аукцион в электронной форме №0187300005818000331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>, код аукциона</w:t>
      </w:r>
      <w:r>
        <w:rPr>
          <w:sz w:val="24"/>
        </w:rPr>
        <w:t xml:space="preserve"> 0187300005815000332, дата публикации 17.09.2018. 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>Идентификационный код закупки:  183862201149086220100110230086810412.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40 лет Победы, 11, Ханты-Мансийский  автономный  округ-Югра, Тюменская область.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04 октября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</w:rPr>
        <w:t>4. </w:t>
      </w:r>
      <w:proofErr w:type="gramStart"/>
      <w:r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z w:val="24"/>
        </w:rPr>
        <w:t xml:space="preserve"> «03» октября 2018 г. 10 часов 00 минут была подана: 1 (одна) заявка на участие в аукционе (под номером № </w:t>
      </w:r>
      <w:r w:rsidR="00214290">
        <w:rPr>
          <w:sz w:val="24"/>
        </w:rPr>
        <w:t>19</w:t>
      </w:r>
      <w:r>
        <w:rPr>
          <w:sz w:val="24"/>
        </w:rPr>
        <w:t>).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 xml:space="preserve">6.1) о соответствии участника аукциона, подавшего единственную заявку на участие в </w:t>
      </w:r>
      <w:r>
        <w:rPr>
          <w:sz w:val="24"/>
        </w:rPr>
        <w:lastRenderedPageBreak/>
        <w:t xml:space="preserve">аукционе, и поданной им заявки № </w:t>
      </w:r>
      <w:r w:rsidR="00214290">
        <w:rPr>
          <w:spacing w:val="-6"/>
          <w:sz w:val="24"/>
          <w:szCs w:val="24"/>
        </w:rPr>
        <w:t>19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1"/>
      </w:tblGrid>
      <w:tr w:rsidR="00381855" w:rsidTr="0021429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381855" w:rsidTr="00214290">
        <w:trPr>
          <w:trHeight w:val="20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55" w:rsidRDefault="00214290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830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968"/>
              <w:gridCol w:w="4862"/>
            </w:tblGrid>
            <w:tr w:rsidR="00214290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2142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"Инвестиционная компания "</w:t>
                  </w:r>
                  <w:proofErr w:type="spellStart"/>
                  <w:r w:rsidRPr="00214290">
                    <w:rPr>
                      <w:b/>
                      <w:bCs/>
                      <w:sz w:val="22"/>
                      <w:szCs w:val="22"/>
                    </w:rPr>
                    <w:t>Уралгазстрой</w:t>
                  </w:r>
                  <w:proofErr w:type="spellEnd"/>
                  <w:r w:rsidRPr="00214290">
                    <w:rPr>
                      <w:b/>
                      <w:bCs/>
                      <w:sz w:val="22"/>
                      <w:szCs w:val="22"/>
                    </w:rPr>
                    <w:t>"</w:t>
                  </w:r>
                </w:p>
              </w:tc>
            </w:tr>
            <w:tr w:rsidR="00214290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>01.10.2018</w:t>
                  </w:r>
                </w:p>
              </w:tc>
            </w:tr>
            <w:tr w:rsidR="00214290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>6623054051</w:t>
                  </w:r>
                </w:p>
              </w:tc>
            </w:tr>
            <w:tr w:rsidR="00214290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>862201001</w:t>
                  </w:r>
                </w:p>
              </w:tc>
            </w:tr>
            <w:tr w:rsidR="00214290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214290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214290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214290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214290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214290">
                    <w:rPr>
                      <w:sz w:val="22"/>
                      <w:szCs w:val="22"/>
                    </w:rPr>
                    <w:t>лавянская</w:t>
                  </w:r>
                  <w:proofErr w:type="spellEnd"/>
                  <w:r w:rsidRPr="00214290">
                    <w:rPr>
                      <w:sz w:val="22"/>
                      <w:szCs w:val="22"/>
                    </w:rPr>
                    <w:t>, д.4А</w:t>
                  </w:r>
                </w:p>
              </w:tc>
            </w:tr>
            <w:tr w:rsidR="00214290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290" w:rsidRPr="00214290" w:rsidRDefault="00214290" w:rsidP="002142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214290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214290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214290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214290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214290">
                    <w:rPr>
                      <w:sz w:val="22"/>
                      <w:szCs w:val="22"/>
                    </w:rPr>
                    <w:t>лавянская</w:t>
                  </w:r>
                  <w:proofErr w:type="spellEnd"/>
                  <w:r w:rsidRPr="00214290">
                    <w:rPr>
                      <w:sz w:val="22"/>
                      <w:szCs w:val="22"/>
                    </w:rPr>
                    <w:t>, д.4А</w:t>
                  </w:r>
                </w:p>
              </w:tc>
            </w:tr>
            <w:tr w:rsidR="00214290" w:rsidTr="00214290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48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290" w:rsidRPr="00214290" w:rsidRDefault="00214290" w:rsidP="00FB7890">
                  <w:pPr>
                    <w:rPr>
                      <w:sz w:val="22"/>
                      <w:szCs w:val="22"/>
                    </w:rPr>
                  </w:pPr>
                  <w:r w:rsidRPr="00214290">
                    <w:rPr>
                      <w:sz w:val="22"/>
                      <w:szCs w:val="22"/>
                    </w:rPr>
                    <w:t>+73435256256</w:t>
                  </w:r>
                </w:p>
              </w:tc>
            </w:tr>
          </w:tbl>
          <w:p w:rsidR="00381855" w:rsidRDefault="0038185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381855" w:rsidRDefault="00381855" w:rsidP="00214290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381855" w:rsidRDefault="00381855" w:rsidP="00214290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381855" w:rsidRDefault="00381855" w:rsidP="00381855">
      <w:pPr>
        <w:jc w:val="center"/>
        <w:rPr>
          <w:noProof/>
          <w:sz w:val="24"/>
          <w:szCs w:val="24"/>
        </w:rPr>
      </w:pPr>
    </w:p>
    <w:tbl>
      <w:tblPr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372"/>
        <w:gridCol w:w="1557"/>
        <w:gridCol w:w="2277"/>
      </w:tblGrid>
      <w:tr w:rsidR="00381855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360972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В.К. </w:t>
            </w:r>
            <w:proofErr w:type="spellStart"/>
            <w:r w:rsidRPr="00360972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Н.А. Морозова</w:t>
            </w:r>
          </w:p>
        </w:tc>
      </w:tr>
      <w:tr w:rsidR="00214290" w:rsidTr="00214290">
        <w:trPr>
          <w:trHeight w:val="590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Т.И. </w:t>
            </w:r>
            <w:proofErr w:type="spellStart"/>
            <w:r w:rsidRPr="00360972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Ж.В. </w:t>
            </w:r>
            <w:proofErr w:type="spellStart"/>
            <w:r w:rsidRPr="00360972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А.Т. Абдуллаев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Н.Б. Захарова</w:t>
            </w:r>
          </w:p>
        </w:tc>
      </w:tr>
    </w:tbl>
    <w:p w:rsidR="00214290" w:rsidRDefault="00214290" w:rsidP="00214290">
      <w:pPr>
        <w:jc w:val="both"/>
        <w:rPr>
          <w:b/>
          <w:sz w:val="24"/>
          <w:szCs w:val="24"/>
        </w:rPr>
      </w:pPr>
      <w:r w:rsidRPr="002F1B70">
        <w:rPr>
          <w:b/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 xml:space="preserve">     </w:t>
      </w:r>
    </w:p>
    <w:p w:rsidR="00214290" w:rsidRPr="00360972" w:rsidRDefault="00214290" w:rsidP="002142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360972">
        <w:rPr>
          <w:b/>
          <w:sz w:val="24"/>
          <w:szCs w:val="24"/>
        </w:rPr>
        <w:t xml:space="preserve">Председатель комиссии:                                                                              С.Д. </w:t>
      </w:r>
      <w:proofErr w:type="spellStart"/>
      <w:r w:rsidRPr="00360972">
        <w:rPr>
          <w:b/>
          <w:sz w:val="24"/>
          <w:szCs w:val="24"/>
        </w:rPr>
        <w:t>Голин</w:t>
      </w:r>
      <w:proofErr w:type="spellEnd"/>
      <w:r w:rsidRPr="00360972">
        <w:rPr>
          <w:b/>
          <w:sz w:val="24"/>
          <w:szCs w:val="24"/>
        </w:rPr>
        <w:t xml:space="preserve">                                                                </w:t>
      </w:r>
    </w:p>
    <w:p w:rsidR="00214290" w:rsidRPr="00360972" w:rsidRDefault="00214290" w:rsidP="00214290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360972">
        <w:rPr>
          <w:b/>
          <w:sz w:val="24"/>
          <w:szCs w:val="24"/>
        </w:rPr>
        <w:t xml:space="preserve">        Члены  комиссии</w:t>
      </w:r>
    </w:p>
    <w:p w:rsidR="00214290" w:rsidRPr="00360972" w:rsidRDefault="00214290" w:rsidP="00214290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360972">
        <w:rPr>
          <w:b/>
          <w:sz w:val="24"/>
          <w:szCs w:val="24"/>
        </w:rPr>
        <w:t>______________</w:t>
      </w:r>
      <w:r w:rsidRPr="00360972">
        <w:rPr>
          <w:sz w:val="24"/>
          <w:szCs w:val="24"/>
        </w:rPr>
        <w:t xml:space="preserve">В.К. </w:t>
      </w:r>
      <w:proofErr w:type="spellStart"/>
      <w:r w:rsidRPr="00360972">
        <w:rPr>
          <w:sz w:val="24"/>
          <w:szCs w:val="24"/>
        </w:rPr>
        <w:t>Бандурин</w:t>
      </w:r>
      <w:proofErr w:type="spellEnd"/>
    </w:p>
    <w:p w:rsidR="00214290" w:rsidRPr="00360972" w:rsidRDefault="00214290" w:rsidP="00214290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360972">
        <w:rPr>
          <w:b/>
          <w:sz w:val="24"/>
          <w:szCs w:val="24"/>
        </w:rPr>
        <w:t xml:space="preserve">                                                                                               __________</w:t>
      </w:r>
      <w:r w:rsidRPr="00360972">
        <w:rPr>
          <w:sz w:val="24"/>
          <w:szCs w:val="24"/>
        </w:rPr>
        <w:t xml:space="preserve"> Т.И.  </w:t>
      </w:r>
      <w:proofErr w:type="spellStart"/>
      <w:r w:rsidRPr="00360972">
        <w:rPr>
          <w:sz w:val="24"/>
          <w:szCs w:val="24"/>
        </w:rPr>
        <w:t>Долгодворова</w:t>
      </w:r>
      <w:proofErr w:type="spellEnd"/>
      <w:r w:rsidRPr="00360972">
        <w:rPr>
          <w:b/>
          <w:sz w:val="24"/>
          <w:szCs w:val="24"/>
        </w:rPr>
        <w:t xml:space="preserve">            </w:t>
      </w:r>
    </w:p>
    <w:p w:rsidR="00214290" w:rsidRPr="00360972" w:rsidRDefault="00214290" w:rsidP="0021429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</w:t>
      </w:r>
      <w:proofErr w:type="spellStart"/>
      <w:r w:rsidRPr="00360972">
        <w:rPr>
          <w:sz w:val="24"/>
          <w:szCs w:val="24"/>
        </w:rPr>
        <w:t>Н.А.Морозова</w:t>
      </w:r>
      <w:proofErr w:type="spellEnd"/>
    </w:p>
    <w:p w:rsidR="00214290" w:rsidRPr="00360972" w:rsidRDefault="00214290" w:rsidP="0021429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</w:t>
      </w:r>
      <w:proofErr w:type="spellStart"/>
      <w:r w:rsidRPr="00360972">
        <w:rPr>
          <w:sz w:val="24"/>
          <w:szCs w:val="24"/>
        </w:rPr>
        <w:t>Ж.В.Резинкина</w:t>
      </w:r>
      <w:proofErr w:type="spellEnd"/>
    </w:p>
    <w:p w:rsidR="00214290" w:rsidRPr="00360972" w:rsidRDefault="00214290" w:rsidP="00214290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______________А.Т. Абдуллаев</w:t>
      </w:r>
    </w:p>
    <w:p w:rsidR="00214290" w:rsidRPr="008E4768" w:rsidRDefault="00214290" w:rsidP="00214290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________________Н.Б. Захарова</w:t>
      </w:r>
    </w:p>
    <w:p w:rsidR="00214290" w:rsidRPr="008A26AB" w:rsidRDefault="00214290" w:rsidP="00214290">
      <w:pPr>
        <w:rPr>
          <w:color w:val="FF0000"/>
          <w:sz w:val="24"/>
          <w:szCs w:val="24"/>
        </w:rPr>
      </w:pPr>
    </w:p>
    <w:p w:rsidR="00381855" w:rsidRDefault="00381855" w:rsidP="0038185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381855" w:rsidRDefault="00381855" w:rsidP="00381855">
      <w:pPr>
        <w:rPr>
          <w:color w:val="FF0000"/>
          <w:sz w:val="24"/>
          <w:szCs w:val="24"/>
        </w:rPr>
      </w:pPr>
    </w:p>
    <w:p w:rsidR="00381855" w:rsidRDefault="00381855" w:rsidP="00381855">
      <w:pPr>
        <w:rPr>
          <w:sz w:val="24"/>
        </w:rPr>
      </w:pPr>
      <w:r>
        <w:rPr>
          <w:color w:val="FF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________________</w:t>
      </w:r>
      <w:r>
        <w:rPr>
          <w:sz w:val="24"/>
        </w:rPr>
        <w:t xml:space="preserve">М.Л. </w:t>
      </w:r>
      <w:proofErr w:type="spellStart"/>
      <w:r>
        <w:rPr>
          <w:sz w:val="24"/>
        </w:rPr>
        <w:t>Прошкина</w:t>
      </w:r>
      <w:proofErr w:type="spellEnd"/>
      <w:r>
        <w:rPr>
          <w:sz w:val="24"/>
        </w:rPr>
        <w:t xml:space="preserve"> </w:t>
      </w:r>
    </w:p>
    <w:p w:rsidR="00214290" w:rsidRDefault="00214290" w:rsidP="00381855">
      <w:pPr>
        <w:rPr>
          <w:sz w:val="24"/>
        </w:rPr>
      </w:pPr>
    </w:p>
    <w:p w:rsidR="00214290" w:rsidRDefault="00214290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Default="00B26B7B" w:rsidP="00381855">
      <w:pPr>
        <w:rPr>
          <w:color w:val="FF0000"/>
          <w:sz w:val="24"/>
        </w:rPr>
      </w:pPr>
    </w:p>
    <w:p w:rsidR="00B26B7B" w:rsidRPr="00656EE3" w:rsidRDefault="00B26B7B" w:rsidP="00B26B7B">
      <w:pPr>
        <w:ind w:hanging="426"/>
        <w:jc w:val="right"/>
      </w:pPr>
      <w:r>
        <w:t xml:space="preserve">Приложение </w:t>
      </w:r>
    </w:p>
    <w:p w:rsidR="00B26B7B" w:rsidRPr="00656EE3" w:rsidRDefault="00B26B7B" w:rsidP="00B26B7B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B26B7B" w:rsidRPr="00656EE3" w:rsidRDefault="00B26B7B" w:rsidP="00B26B7B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B26B7B" w:rsidRDefault="00B26B7B" w:rsidP="00B26B7B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04» октября 2018 г. № 0187300005818</w:t>
      </w:r>
      <w:r w:rsidRPr="00656EE3">
        <w:t>000</w:t>
      </w:r>
      <w:r>
        <w:t>331</w:t>
      </w:r>
      <w:r w:rsidRPr="00656EE3">
        <w:t>-1</w:t>
      </w:r>
    </w:p>
    <w:p w:rsidR="00B26B7B" w:rsidRPr="00656EE3" w:rsidRDefault="00B26B7B" w:rsidP="00B26B7B">
      <w:pPr>
        <w:tabs>
          <w:tab w:val="left" w:pos="3930"/>
          <w:tab w:val="right" w:pos="9355"/>
        </w:tabs>
        <w:jc w:val="right"/>
      </w:pPr>
    </w:p>
    <w:p w:rsidR="00B26B7B" w:rsidRPr="00656EE3" w:rsidRDefault="00B26B7B" w:rsidP="00B26B7B">
      <w:pPr>
        <w:ind w:left="142"/>
        <w:jc w:val="center"/>
      </w:pPr>
      <w:r w:rsidRPr="00656EE3">
        <w:t>Таблица рассмотрения единственной заявки</w:t>
      </w:r>
    </w:p>
    <w:p w:rsidR="00B26B7B" w:rsidRDefault="00B26B7B" w:rsidP="00B26B7B">
      <w:pPr>
        <w:pStyle w:val="a5"/>
        <w:keepNext/>
        <w:keepLines/>
        <w:suppressLineNumbers/>
        <w:suppressAutoHyphens/>
        <w:ind w:left="142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 w:rsidRPr="00D46ABB">
        <w:t>на право заключения муниципального контракта</w:t>
      </w:r>
      <w:r>
        <w:t xml:space="preserve"> </w:t>
      </w:r>
    </w:p>
    <w:p w:rsidR="00B26B7B" w:rsidRDefault="00B26B7B" w:rsidP="00B26B7B">
      <w:pPr>
        <w:pStyle w:val="a5"/>
        <w:keepNext/>
        <w:keepLines/>
        <w:suppressLineNumbers/>
        <w:suppressAutoHyphens/>
        <w:ind w:left="142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 xml:space="preserve">жилых помещений </w:t>
      </w:r>
      <w:r w:rsidRPr="000F7320">
        <w:t>путем заключения договора участия в долевом строительстве жилых помещений в многоквартирном доме</w:t>
      </w:r>
      <w:r w:rsidRPr="006C616B">
        <w:t>.</w:t>
      </w:r>
    </w:p>
    <w:p w:rsidR="00B26B7B" w:rsidRPr="006C616B" w:rsidRDefault="00B26B7B" w:rsidP="00B26B7B">
      <w:pPr>
        <w:pStyle w:val="a5"/>
        <w:keepNext/>
        <w:keepLines/>
        <w:suppressLineNumbers/>
        <w:suppressAutoHyphens/>
        <w:ind w:left="142"/>
        <w:contextualSpacing w:val="0"/>
        <w:jc w:val="center"/>
      </w:pPr>
    </w:p>
    <w:p w:rsidR="00B26B7B" w:rsidRDefault="00B26B7B" w:rsidP="00B26B7B">
      <w:r>
        <w:t xml:space="preserve">   </w:t>
      </w: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</w:p>
    <w:p w:rsidR="00B26B7B" w:rsidRPr="00656EE3" w:rsidRDefault="00B26B7B" w:rsidP="00B26B7B"/>
    <w:tbl>
      <w:tblPr>
        <w:tblW w:w="10490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131"/>
        <w:gridCol w:w="1838"/>
      </w:tblGrid>
      <w:tr w:rsidR="00B26B7B" w:rsidRPr="00A5418C" w:rsidTr="00B26B7B">
        <w:trPr>
          <w:trHeight w:val="330"/>
        </w:trPr>
        <w:tc>
          <w:tcPr>
            <w:tcW w:w="8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</w:tr>
      <w:tr w:rsidR="00B26B7B" w:rsidRPr="00A5418C" w:rsidTr="00B26B7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>
              <w:rPr>
                <w:color w:val="000000"/>
                <w:sz w:val="16"/>
                <w:szCs w:val="16"/>
              </w:rPr>
              <w:t>Уралгазстрой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B26B7B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B26B7B" w:rsidRPr="00A5418C" w:rsidTr="00B26B7B">
        <w:trPr>
          <w:trHeight w:val="70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26B7B" w:rsidRPr="00A5418C" w:rsidTr="00B26B7B">
        <w:trPr>
          <w:trHeight w:val="38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26B7B" w:rsidRPr="00A5418C" w:rsidTr="00B26B7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26B7B" w:rsidRPr="00A5418C" w:rsidTr="00B26B7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26B7B" w:rsidRPr="00A5418C" w:rsidTr="00B26B7B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</w:t>
            </w:r>
            <w:r w:rsidRPr="00A5418C">
              <w:rPr>
                <w:sz w:val="16"/>
                <w:szCs w:val="16"/>
              </w:rPr>
              <w:lastRenderedPageBreak/>
              <w:t xml:space="preserve">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26B7B" w:rsidRPr="00A5418C" w:rsidTr="00B26B7B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B26B7B" w:rsidRPr="00A5418C" w:rsidTr="00B26B7B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7B" w:rsidRPr="007733BB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7B" w:rsidRPr="007733BB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B26B7B" w:rsidRPr="00A5418C" w:rsidTr="00B26B7B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B26B7B" w:rsidRPr="00A5418C" w:rsidTr="00B26B7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>аксимальная) цена контракта – 18 253 950</w:t>
            </w:r>
            <w:r w:rsidRPr="00D36D35">
              <w:rPr>
                <w:b/>
                <w:color w:val="000000"/>
                <w:sz w:val="16"/>
                <w:szCs w:val="16"/>
              </w:rPr>
              <w:t>,</w:t>
            </w:r>
            <w:r w:rsidRPr="009223DE">
              <w:rPr>
                <w:color w:val="000000"/>
                <w:sz w:val="16"/>
                <w:szCs w:val="16"/>
              </w:rPr>
              <w:t>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7B" w:rsidRPr="00465D1C" w:rsidRDefault="00B26B7B" w:rsidP="00753771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B26B7B" w:rsidRPr="00A5418C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5418C" w:rsidRDefault="00B26B7B" w:rsidP="00753771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5418C" w:rsidRDefault="00B26B7B" w:rsidP="0075377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EE3A9B" w:rsidRDefault="00B26B7B" w:rsidP="00753771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Уралгазстрой</w:t>
            </w:r>
            <w:proofErr w:type="spellEnd"/>
            <w:r w:rsidRPr="00EE3A9B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B26B7B" w:rsidRPr="005C3653" w:rsidRDefault="00B26B7B" w:rsidP="0075377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B26B7B" w:rsidRPr="00A5418C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2701B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Студенческая, д.16/1,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9, 23, 26, 41, 46).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2701B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B26B7B" w:rsidRPr="00A5418C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357389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357389">
              <w:rPr>
                <w:sz w:val="16"/>
                <w:szCs w:val="16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2701B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2701B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  <w:lang w:eastAsia="en-US"/>
              </w:rPr>
              <w:t>Не менее 60%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jc w:val="center"/>
              <w:rPr>
                <w:sz w:val="16"/>
                <w:szCs w:val="16"/>
                <w:lang w:eastAsia="en-US"/>
              </w:rPr>
            </w:pPr>
            <w:r w:rsidRPr="00786A33">
              <w:rPr>
                <w:sz w:val="16"/>
                <w:szCs w:val="16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786A33">
              <w:rPr>
                <w:sz w:val="16"/>
                <w:szCs w:val="16"/>
                <w:lang w:eastAsia="en-US"/>
              </w:rPr>
              <w:t>согласно</w:t>
            </w:r>
            <w:proofErr w:type="gramEnd"/>
            <w:r w:rsidRPr="00786A33">
              <w:rPr>
                <w:sz w:val="16"/>
                <w:szCs w:val="16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Default="00B26B7B" w:rsidP="007537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</w:rPr>
              <w:t>жилых помещений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2701B" w:rsidRDefault="00B26B7B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>
              <w:rPr>
                <w:b/>
                <w:sz w:val="16"/>
                <w:szCs w:val="16"/>
              </w:rPr>
              <w:t>жилых помещени</w:t>
            </w:r>
            <w:proofErr w:type="gramStart"/>
            <w:r>
              <w:rPr>
                <w:b/>
                <w:sz w:val="16"/>
                <w:szCs w:val="16"/>
              </w:rPr>
              <w:t>й(</w:t>
            </w:r>
            <w:proofErr w:type="gramEnd"/>
            <w:r>
              <w:rPr>
                <w:b/>
                <w:sz w:val="16"/>
                <w:szCs w:val="16"/>
              </w:rPr>
              <w:t>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325,0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2701B" w:rsidRDefault="00B26B7B" w:rsidP="0075377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BA1E39" w:rsidRDefault="00B26B7B" w:rsidP="00753771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B26B7B" w:rsidRPr="00D36D35" w:rsidRDefault="00B26B7B" w:rsidP="0075377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B26B7B" w:rsidRPr="00BA1E39" w:rsidRDefault="00B26B7B" w:rsidP="00753771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A2701B" w:rsidRDefault="00B26B7B" w:rsidP="00753771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B26B7B" w:rsidRPr="00656EE3" w:rsidTr="00B26B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kern w:val="1"/>
                <w:sz w:val="16"/>
                <w:szCs w:val="16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Pr="00786A33" w:rsidRDefault="00B26B7B" w:rsidP="00753771">
            <w:pPr>
              <w:numPr>
                <w:ilvl w:val="2"/>
                <w:numId w:val="0"/>
              </w:numPr>
              <w:tabs>
                <w:tab w:val="num" w:pos="0"/>
                <w:tab w:val="num" w:pos="1080"/>
              </w:tabs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B26B7B" w:rsidRPr="00786A33" w:rsidRDefault="00B26B7B" w:rsidP="00753771">
            <w:pPr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B26B7B" w:rsidRPr="00786A33" w:rsidRDefault="00B26B7B" w:rsidP="00753771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proofErr w:type="gramStart"/>
            <w:r w:rsidRPr="00786A33">
              <w:rPr>
                <w:sz w:val="16"/>
                <w:szCs w:val="16"/>
              </w:rPr>
              <w:t xml:space="preserve"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</w:t>
            </w:r>
            <w:r w:rsidRPr="00786A33">
              <w:rPr>
                <w:sz w:val="16"/>
                <w:szCs w:val="16"/>
              </w:rPr>
              <w:lastRenderedPageBreak/>
              <w:t>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786A33">
              <w:rPr>
                <w:sz w:val="16"/>
                <w:szCs w:val="16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B26B7B" w:rsidRPr="00786A33" w:rsidRDefault="00B26B7B" w:rsidP="00753771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B26B7B" w:rsidRPr="00786A33" w:rsidRDefault="00B26B7B" w:rsidP="00753771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6"/>
                <w:szCs w:val="16"/>
              </w:rPr>
            </w:pPr>
            <w:r w:rsidRPr="00786A33">
              <w:rPr>
                <w:rFonts w:eastAsia="Calibri"/>
                <w:sz w:val="16"/>
                <w:szCs w:val="16"/>
              </w:rPr>
              <w:t xml:space="preserve">д) действующее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 xml:space="preserve">заключение положительной экспертизы </w:t>
            </w:r>
            <w:r w:rsidRPr="00786A33">
              <w:rPr>
                <w:rFonts w:eastAsia="Calibri"/>
                <w:sz w:val="16"/>
                <w:szCs w:val="16"/>
              </w:rPr>
              <w:t xml:space="preserve">о соответствии застройщика и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786A33">
              <w:rPr>
                <w:rFonts w:eastAsia="Calibri"/>
                <w:sz w:val="16"/>
                <w:szCs w:val="16"/>
              </w:rPr>
              <w:t>;</w:t>
            </w:r>
          </w:p>
          <w:p w:rsidR="00B26B7B" w:rsidRPr="00786A33" w:rsidRDefault="00B26B7B" w:rsidP="00753771">
            <w:pPr>
              <w:pStyle w:val="a6"/>
              <w:ind w:firstLine="540"/>
              <w:jc w:val="both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B26B7B" w:rsidRPr="00BA1E39" w:rsidRDefault="00B26B7B" w:rsidP="0075377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B" w:rsidRDefault="00B26B7B" w:rsidP="00753771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Предоставлены</w:t>
            </w:r>
          </w:p>
        </w:tc>
      </w:tr>
    </w:tbl>
    <w:p w:rsidR="00493823" w:rsidRDefault="00493823">
      <w:bookmarkStart w:id="0" w:name="_GoBack"/>
      <w:bookmarkEnd w:id="0"/>
    </w:p>
    <w:sectPr w:rsidR="00493823" w:rsidSect="00214290">
      <w:pgSz w:w="11906" w:h="16838"/>
      <w:pgMar w:top="284" w:right="850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F6"/>
    <w:rsid w:val="00071EF6"/>
    <w:rsid w:val="00214290"/>
    <w:rsid w:val="00381855"/>
    <w:rsid w:val="00493823"/>
    <w:rsid w:val="00600E9E"/>
    <w:rsid w:val="00823F29"/>
    <w:rsid w:val="00B26B7B"/>
    <w:rsid w:val="00BB75D2"/>
    <w:rsid w:val="00DD479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2018-10-04T04:17:00Z</cp:lastPrinted>
  <dcterms:created xsi:type="dcterms:W3CDTF">2018-10-02T06:43:00Z</dcterms:created>
  <dcterms:modified xsi:type="dcterms:W3CDTF">2018-10-04T06:08:00Z</dcterms:modified>
</cp:coreProperties>
</file>