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A63E7" w:rsidRDefault="005A63E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 по адресу: район Юг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орск-2, дом № 15, город Югорск</w:t>
            </w:r>
            <w:r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земельным участком, кадастровый номер 86:22:0015001:78, разрешенное использование: для размещения административного здания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ад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министрации города Югорска от 07 октября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1A3B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да № 2155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A63E7" w:rsidRDefault="005A63E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двухэтажное кирпичное здание, общей площадью 713,3 </w:t>
            </w:r>
            <w:proofErr w:type="spellStart"/>
            <w:r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год постройки – 1966, фундамент – бетонный, стены - кирпичные, перекрытия – железобетонные.</w:t>
            </w:r>
            <w:proofErr w:type="gramEnd"/>
            <w:r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Расположено на земельном участке общей площадью 1 784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Договоры аренды заключённые на неопределённый срок:</w:t>
            </w:r>
          </w:p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 01.12.2003 № 40;</w:t>
            </w:r>
          </w:p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 22.03.2004 № 56;</w:t>
            </w:r>
          </w:p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 30.05.2006 № 37;</w:t>
            </w:r>
          </w:p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 04.04.2007 № 15.</w:t>
            </w:r>
          </w:p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Договоры безвозмездного пользования заключённые на неопределённый срок:</w:t>
            </w:r>
          </w:p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29.12.2007 № 30;</w:t>
            </w:r>
          </w:p>
          <w:p w:rsidR="005A63E7" w:rsidRPr="005A63E7" w:rsidRDefault="005A63E7" w:rsidP="005A6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от 15.06.2015 № 05;</w:t>
            </w:r>
          </w:p>
          <w:p w:rsidR="00D17F7B" w:rsidRDefault="005A63E7" w:rsidP="005A63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08.08.2016 № 07.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5A63E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E7">
              <w:rPr>
                <w:rFonts w:ascii="Times New Roman" w:hAnsi="Times New Roman" w:cs="Times New Roman"/>
                <w:sz w:val="24"/>
                <w:szCs w:val="24"/>
              </w:rPr>
              <w:t xml:space="preserve">Цена продажи земельного участка составляет </w:t>
            </w:r>
            <w:r w:rsidRPr="005A63E7">
              <w:rPr>
                <w:rFonts w:ascii="Times New Roman" w:hAnsi="Times New Roman" w:cs="Times New Roman"/>
                <w:b/>
                <w:sz w:val="24"/>
                <w:szCs w:val="24"/>
              </w:rPr>
              <w:t>851 000 руб. 00 коп.</w:t>
            </w:r>
            <w:r w:rsidRPr="005A63E7">
              <w:rPr>
                <w:rFonts w:ascii="Times New Roman" w:hAnsi="Times New Roman" w:cs="Times New Roman"/>
                <w:sz w:val="24"/>
                <w:szCs w:val="24"/>
              </w:rPr>
              <w:t xml:space="preserve"> (Восемьсот пятьдесят одна тысяча рублей 00 копеек), НДС не облагается. 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AC7E3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AC7E3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AC7E3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тавлено на продажу с аукциона 24.05.2019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аукционе;</w:t>
            </w:r>
          </w:p>
          <w:p w:rsid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дством публичного предложения 14.08</w:t>
            </w:r>
            <w:r w:rsidR="00EE479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ввиду отсутст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вия заявок на участие в продаже.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435E12"/>
    <w:rsid w:val="004802FD"/>
    <w:rsid w:val="00484968"/>
    <w:rsid w:val="005A63E7"/>
    <w:rsid w:val="006B118F"/>
    <w:rsid w:val="006C6BB5"/>
    <w:rsid w:val="007026C5"/>
    <w:rsid w:val="00820CA8"/>
    <w:rsid w:val="008928F7"/>
    <w:rsid w:val="0099470B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18</cp:revision>
  <cp:lastPrinted>2019-07-08T05:11:00Z</cp:lastPrinted>
  <dcterms:created xsi:type="dcterms:W3CDTF">2019-06-25T04:55:00Z</dcterms:created>
  <dcterms:modified xsi:type="dcterms:W3CDTF">2019-10-10T11:32:00Z</dcterms:modified>
</cp:coreProperties>
</file>