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137CF3" w:rsidRPr="00D12E05">
        <w:rPr>
          <w:rFonts w:ascii="PT Astra Serif" w:hAnsi="PT Astra Serif"/>
          <w:color w:val="000099"/>
        </w:rPr>
        <w:t xml:space="preserve"> </w:t>
      </w:r>
      <w:r w:rsidR="009D4AD2" w:rsidRPr="009D4AD2">
        <w:rPr>
          <w:rFonts w:ascii="PT Astra Serif" w:hAnsi="PT Astra Serif"/>
          <w:color w:val="000099"/>
        </w:rPr>
        <w:t>2038622002368862201001002900</w:t>
      </w:r>
      <w:r w:rsidR="00464EB2">
        <w:rPr>
          <w:rFonts w:ascii="PT Astra Serif" w:hAnsi="PT Astra Serif"/>
          <w:color w:val="000099"/>
          <w:lang w:val="en-US"/>
        </w:rPr>
        <w:t>2</w:t>
      </w:r>
      <w:bookmarkStart w:id="0" w:name="_GoBack"/>
      <w:bookmarkEnd w:id="0"/>
      <w:r w:rsidR="009D4AD2" w:rsidRPr="009D4AD2">
        <w:rPr>
          <w:rFonts w:ascii="PT Astra Serif" w:hAnsi="PT Astra Serif"/>
          <w:color w:val="000099"/>
        </w:rPr>
        <w:t>6311244</w:t>
      </w:r>
      <w:r w:rsidRPr="00CF690A">
        <w:rPr>
          <w:rFonts w:ascii="PT Astra Serif" w:hAnsi="PT Astra Serif"/>
          <w:color w:val="000099"/>
        </w:rPr>
        <w:t>)</w:t>
      </w:r>
    </w:p>
    <w:p w:rsidR="008852B8" w:rsidRPr="00CF690A" w:rsidRDefault="008852B8">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20</w:t>
      </w:r>
      <w:r w:rsidRPr="00CF690A">
        <w:rPr>
          <w:rFonts w:ascii="PT Astra Serif" w:hAnsi="PT Astra Serif"/>
        </w:rPr>
        <w:t xml:space="preserve"> г.</w:t>
      </w:r>
    </w:p>
    <w:p w:rsidR="00D91FE3"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1B1CFA" w:rsidRPr="001B1CFA">
        <w:rPr>
          <w:rFonts w:ascii="PT Astra Serif" w:hAnsi="PT Astra Serif"/>
          <w:color w:val="000099"/>
        </w:rPr>
        <w:t xml:space="preserve">обновлению программного обеспечения «Гранд-Смета </w:t>
      </w:r>
      <w:proofErr w:type="spellStart"/>
      <w:r w:rsidR="001B1CFA" w:rsidRPr="001B1CFA">
        <w:rPr>
          <w:rFonts w:ascii="PT Astra Serif" w:hAnsi="PT Astra Serif"/>
          <w:color w:val="000099"/>
        </w:rPr>
        <w:t>проф</w:t>
      </w:r>
      <w:proofErr w:type="spellEnd"/>
      <w:r w:rsidR="001B1CFA" w:rsidRPr="001B1CFA">
        <w:rPr>
          <w:rFonts w:ascii="PT Astra Serif" w:hAnsi="PT Astra Serif"/>
          <w:color w:val="000099"/>
        </w:rPr>
        <w:t>»</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c"/>
        <w:spacing w:line="240" w:lineRule="auto"/>
        <w:ind w:firstLine="709"/>
        <w:rPr>
          <w:rFonts w:ascii="PT Astra Serif" w:hAnsi="PT Astra Serif"/>
        </w:rPr>
      </w:pPr>
    </w:p>
    <w:p w:rsidR="00674BDC"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1B1CFA" w:rsidRPr="001B1CFA">
        <w:rPr>
          <w:rFonts w:ascii="PT Astra Serif" w:hAnsi="PT Astra Serif"/>
          <w:color w:val="000099"/>
        </w:rPr>
        <w:t>1</w:t>
      </w:r>
      <w:r w:rsidR="008852B8" w:rsidRPr="008852B8">
        <w:rPr>
          <w:rFonts w:ascii="PT Astra Serif" w:hAnsi="PT Astra Serif"/>
          <w:color w:val="000099"/>
        </w:rPr>
        <w:t>1.12.2020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w:t>
      </w:r>
      <w:r w:rsidRPr="00CF690A">
        <w:rPr>
          <w:rFonts w:ascii="PT Astra Serif" w:hAnsi="PT Astra Serif"/>
        </w:rPr>
        <w:lastRenderedPageBreak/>
        <w:t xml:space="preserve">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w:t>
      </w:r>
      <w:r w:rsidR="00CF690A" w:rsidRPr="00CF690A">
        <w:rPr>
          <w:rFonts w:ascii="PT Astra Serif" w:hAnsi="PT Astra Serif"/>
          <w:kern w:val="2"/>
          <w:szCs w:val="24"/>
        </w:rPr>
        <w:lastRenderedPageBreak/>
        <w:t xml:space="preserve">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A05F80">
        <w:rPr>
          <w:rFonts w:ascii="PT Astra Serif" w:hAnsi="PT Astra Serif"/>
        </w:rPr>
        <w:t>пятнадцать</w:t>
      </w:r>
      <w:r w:rsidRPr="00CF690A">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Pr="0058555E">
        <w:rPr>
          <w:rFonts w:ascii="PT Astra Serif" w:hAnsi="PT Astra Serif"/>
          <w:sz w:val="24"/>
          <w:szCs w:val="24"/>
        </w:rPr>
        <w:lastRenderedPageBreak/>
        <w:t>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58555E">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8852B8">
        <w:rPr>
          <w:rFonts w:ascii="PT Astra Serif" w:hAnsi="PT Astra Serif" w:cs="Times New Roman"/>
          <w:color w:val="000099"/>
          <w:szCs w:val="24"/>
        </w:rPr>
        <w:t>2</w:t>
      </w:r>
      <w:r w:rsidR="001B1CFA" w:rsidRPr="001B1CFA">
        <w:rPr>
          <w:rFonts w:ascii="PT Astra Serif" w:hAnsi="PT Astra Serif" w:cs="Times New Roman"/>
          <w:color w:val="000099"/>
          <w:szCs w:val="24"/>
        </w:rPr>
        <w:t>5</w:t>
      </w:r>
      <w:r w:rsidR="00002125" w:rsidRPr="001157FD">
        <w:rPr>
          <w:rFonts w:ascii="PT Astra Serif" w:hAnsi="PT Astra Serif" w:cs="Times New Roman"/>
          <w:color w:val="000099"/>
          <w:szCs w:val="24"/>
        </w:rPr>
        <w:t>.12.20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8852B8">
        <w:rPr>
          <w:rFonts w:ascii="PT Astra Serif" w:hAnsi="PT Astra Serif" w:cs="Times New Roman"/>
          <w:color w:val="000099"/>
          <w:szCs w:val="24"/>
        </w:rPr>
        <w:t>2</w:t>
      </w:r>
      <w:r w:rsidR="001B1CFA" w:rsidRPr="001B1CFA">
        <w:rPr>
          <w:rFonts w:ascii="PT Astra Serif" w:hAnsi="PT Astra Serif" w:cs="Times New Roman"/>
          <w:color w:val="000099"/>
          <w:szCs w:val="24"/>
        </w:rPr>
        <w:t>6</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w:t>
      </w:r>
      <w:r w:rsidR="008852B8">
        <w:rPr>
          <w:rFonts w:ascii="PT Astra Serif" w:hAnsi="PT Astra Serif" w:cs="Times New Roman"/>
          <w:color w:val="000099"/>
          <w:szCs w:val="24"/>
        </w:rPr>
        <w:t>2</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w:t>
      </w:r>
      <w:r w:rsidR="00F249EA">
        <w:rPr>
          <w:rFonts w:ascii="PT Astra Serif" w:hAnsi="PT Astra Serif" w:cs="Times New Roman"/>
          <w:szCs w:val="24"/>
        </w:rPr>
        <w:t xml:space="preserve">, </w:t>
      </w:r>
      <w:r w:rsidR="000D7590">
        <w:rPr>
          <w:rFonts w:ascii="PT Astra Serif" w:hAnsi="PT Astra Serif" w:cs="Times New Roman"/>
          <w:szCs w:val="24"/>
        </w:rPr>
        <w:t xml:space="preserve">обязательств по </w:t>
      </w:r>
      <w:r w:rsidR="00F249EA">
        <w:rPr>
          <w:rFonts w:ascii="PT Astra Serif" w:hAnsi="PT Astra Serif" w:cs="Times New Roman"/>
          <w:szCs w:val="24"/>
        </w:rPr>
        <w:t>сопровождению программного обеспечения</w:t>
      </w:r>
      <w:r w:rsidRPr="00CF690A">
        <w:rPr>
          <w:rFonts w:ascii="PT Astra Serif" w:hAnsi="PT Astra Serif" w:cs="Times New Roman"/>
          <w:szCs w:val="24"/>
        </w:rPr>
        <w:t>,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521B5A"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521B5A">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proofErr w:type="gramStart"/>
      <w:r w:rsidR="001B1CFA">
        <w:rPr>
          <w:rFonts w:ascii="PT Astra Serif" w:hAnsi="PT Astra Serif"/>
        </w:rPr>
        <w:t>Сахибгариева</w:t>
      </w:r>
      <w:proofErr w:type="spellEnd"/>
      <w:r w:rsidR="001B1CFA">
        <w:rPr>
          <w:rFonts w:ascii="PT Astra Serif" w:hAnsi="PT Astra Serif"/>
        </w:rPr>
        <w:t xml:space="preserve"> </w:t>
      </w:r>
      <w:r w:rsidR="009174AB" w:rsidRPr="00CF690A">
        <w:rPr>
          <w:rFonts w:ascii="PT Astra Serif" w:hAnsi="PT Astra Serif"/>
        </w:rPr>
        <w:t xml:space="preserve"> </w:t>
      </w:r>
      <w:r w:rsidR="001B1CFA">
        <w:rPr>
          <w:rFonts w:ascii="PT Astra Serif" w:hAnsi="PT Astra Serif"/>
        </w:rPr>
        <w:t>А</w:t>
      </w:r>
      <w:r w:rsidR="009174AB" w:rsidRPr="00CF690A">
        <w:rPr>
          <w:rFonts w:ascii="PT Astra Serif" w:hAnsi="PT Astra Serif"/>
        </w:rPr>
        <w:t>.</w:t>
      </w:r>
      <w:r w:rsidR="001B1CFA">
        <w:rPr>
          <w:rFonts w:ascii="PT Astra Serif" w:hAnsi="PT Astra Serif"/>
        </w:rPr>
        <w:t>З</w:t>
      </w:r>
      <w:r w:rsidR="009174AB" w:rsidRPr="00CF690A">
        <w:rPr>
          <w:rFonts w:ascii="PT Astra Serif" w:hAnsi="PT Astra Serif"/>
        </w:rPr>
        <w:t>.</w:t>
      </w:r>
      <w:proofErr w:type="gramEnd"/>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441FAB" w:rsidRPr="00A05F80">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1B1CFA" w:rsidRPr="00CE38E5" w:rsidRDefault="001B1CFA" w:rsidP="001B1CFA">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3B7432">
        <w:rPr>
          <w:rFonts w:ascii="PT Astra Serif" w:hAnsi="PT Astra Serif"/>
          <w:sz w:val="24"/>
          <w:szCs w:val="24"/>
        </w:rPr>
        <w:t xml:space="preserve">обновлению программного обеспечения «Гранд-Смета </w:t>
      </w:r>
      <w:proofErr w:type="spellStart"/>
      <w:r w:rsidRPr="003B7432">
        <w:rPr>
          <w:rFonts w:ascii="PT Astra Serif" w:hAnsi="PT Astra Serif"/>
          <w:sz w:val="24"/>
          <w:szCs w:val="24"/>
        </w:rPr>
        <w:t>проф</w:t>
      </w:r>
      <w:proofErr w:type="spellEnd"/>
      <w:r w:rsidRPr="003B7432">
        <w:rPr>
          <w:rFonts w:ascii="PT Astra Serif" w:hAnsi="PT Astra Serif"/>
          <w:sz w:val="24"/>
          <w:szCs w:val="24"/>
        </w:rPr>
        <w:t>»</w:t>
      </w:r>
      <w:r w:rsidRPr="00CE38E5">
        <w:rPr>
          <w:rFonts w:ascii="PT Astra Serif" w:hAnsi="PT Astra Serif"/>
          <w:sz w:val="24"/>
          <w:szCs w:val="24"/>
        </w:rPr>
        <w:t>.</w:t>
      </w:r>
    </w:p>
    <w:p w:rsidR="001B1CFA" w:rsidRPr="00CE38E5" w:rsidRDefault="001B1CFA" w:rsidP="001B1CFA">
      <w:pPr>
        <w:ind w:firstLine="709"/>
        <w:jc w:val="both"/>
        <w:rPr>
          <w:rFonts w:ascii="PT Astra Serif" w:hAnsi="PT Astra Serif"/>
          <w:sz w:val="24"/>
          <w:szCs w:val="24"/>
        </w:rPr>
      </w:pPr>
    </w:p>
    <w:p w:rsidR="001B1CFA" w:rsidRPr="00071C66" w:rsidRDefault="001B1CFA" w:rsidP="001B1CFA">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ул.40 лет Победы, д.11</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 xml:space="preserve">2.2. Заказчик обладает лицензионными сертификатами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 №№ 22964 111, 11413 121, 11414 121, 4685 141.</w:t>
      </w:r>
    </w:p>
    <w:p w:rsidR="001B1CFA" w:rsidRPr="00071C66" w:rsidRDefault="001B1CFA" w:rsidP="001B1CFA">
      <w:pPr>
        <w:ind w:firstLine="709"/>
        <w:jc w:val="both"/>
        <w:rPr>
          <w:rFonts w:ascii="PT Astra Serif" w:hAnsi="PT Astra Serif"/>
          <w:sz w:val="24"/>
          <w:szCs w:val="24"/>
        </w:rPr>
      </w:pPr>
    </w:p>
    <w:p w:rsidR="001B1CFA" w:rsidRPr="00071C66" w:rsidRDefault="001B1CFA" w:rsidP="001B1CFA">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1B1CFA" w:rsidRPr="00071C66" w:rsidTr="00B8470E">
        <w:tc>
          <w:tcPr>
            <w:tcW w:w="567" w:type="dxa"/>
            <w:tcBorders>
              <w:top w:val="single" w:sz="4" w:space="0" w:color="000000"/>
              <w:left w:val="single" w:sz="4" w:space="0" w:color="000000"/>
              <w:bottom w:val="single" w:sz="4" w:space="0" w:color="auto"/>
            </w:tcBorders>
          </w:tcPr>
          <w:p w:rsidR="001B1CFA" w:rsidRPr="00071C66" w:rsidRDefault="001B1CFA"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1B1CFA" w:rsidRPr="00071C66" w:rsidRDefault="001B1CFA"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1B1CFA" w:rsidRPr="00071C66" w:rsidRDefault="001B1CFA"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1B1CFA" w:rsidRPr="00071C66" w:rsidTr="00B8470E">
        <w:trPr>
          <w:trHeight w:val="787"/>
        </w:trPr>
        <w:tc>
          <w:tcPr>
            <w:tcW w:w="567" w:type="dxa"/>
            <w:tcBorders>
              <w:top w:val="single" w:sz="4" w:space="0" w:color="auto"/>
              <w:left w:val="single" w:sz="4" w:space="0" w:color="auto"/>
              <w:bottom w:val="single" w:sz="4" w:space="0" w:color="auto"/>
              <w:right w:val="single" w:sz="4" w:space="0" w:color="auto"/>
            </w:tcBorders>
          </w:tcPr>
          <w:p w:rsidR="001B1CFA" w:rsidRPr="00071C66" w:rsidRDefault="001B1CFA" w:rsidP="00B8470E">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1B1CFA" w:rsidRPr="00D14EF5" w:rsidRDefault="001B1CFA" w:rsidP="00B8470E">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обновлению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Обновление программного обеспечения «Гранд-Смета </w:t>
            </w:r>
            <w:proofErr w:type="spellStart"/>
            <w:r w:rsidRPr="00D14EF5">
              <w:rPr>
                <w:rFonts w:ascii="PT Astra Serif" w:hAnsi="PT Astra Serif"/>
                <w:szCs w:val="18"/>
                <w:lang w:eastAsia="zh-CN"/>
              </w:rPr>
              <w:t>проф</w:t>
            </w:r>
            <w:proofErr w:type="spellEnd"/>
            <w:r w:rsidRPr="00D14EF5">
              <w:rPr>
                <w:rFonts w:ascii="PT Astra Serif" w:hAnsi="PT Astra Serif"/>
                <w:szCs w:val="18"/>
                <w:lang w:eastAsia="zh-CN"/>
              </w:rPr>
              <w:t>» на 4 рабочих местах Заказчика включает в себя:</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1. Годовая подписка на обновление версий программного комплекса «ГРАНД-Смета», включая базу данных «Электронная библиотека сметчика»;</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2. Право на использование обновлений базы данных «ГЭСН-20</w:t>
            </w:r>
            <w:r w:rsidR="00415987" w:rsidRPr="00415987">
              <w:rPr>
                <w:rFonts w:ascii="PT Astra Serif" w:hAnsi="PT Astra Serif"/>
                <w:szCs w:val="18"/>
                <w:lang w:eastAsia="zh-CN"/>
              </w:rPr>
              <w:t>20</w:t>
            </w:r>
            <w:r w:rsidRPr="00D14EF5">
              <w:rPr>
                <w:rFonts w:ascii="PT Astra Serif" w:hAnsi="PT Astra Serif"/>
                <w:szCs w:val="18"/>
                <w:lang w:eastAsia="zh-CN"/>
              </w:rPr>
              <w:t>, ФЕР-20</w:t>
            </w:r>
            <w:r w:rsidR="00415987" w:rsidRPr="00415987">
              <w:rPr>
                <w:rFonts w:ascii="PT Astra Serif" w:hAnsi="PT Astra Serif"/>
                <w:szCs w:val="18"/>
                <w:lang w:eastAsia="zh-CN"/>
              </w:rPr>
              <w:t>20</w:t>
            </w:r>
            <w:r w:rsidRPr="00D14EF5">
              <w:rPr>
                <w:rFonts w:ascii="PT Astra Serif" w:hAnsi="PT Astra Serif"/>
                <w:szCs w:val="18"/>
                <w:lang w:eastAsia="zh-CN"/>
              </w:rPr>
              <w:t>» в формате ПК «ГРАНД-Смета» в течение года.</w:t>
            </w:r>
          </w:p>
          <w:p w:rsidR="001B1CFA" w:rsidRPr="00D14EF5" w:rsidRDefault="001B1CFA" w:rsidP="00B8470E">
            <w:pPr>
              <w:suppressAutoHyphens/>
              <w:autoSpaceDE w:val="0"/>
              <w:autoSpaceDN w:val="0"/>
              <w:adjustRightInd w:val="0"/>
              <w:rPr>
                <w:rFonts w:ascii="PT Astra Serif" w:hAnsi="PT Astra Serif"/>
                <w:szCs w:val="18"/>
                <w:lang w:eastAsia="zh-CN"/>
              </w:rPr>
            </w:pPr>
          </w:p>
          <w:p w:rsidR="001B1CFA" w:rsidRPr="00D14EF5" w:rsidRDefault="001B1CFA" w:rsidP="00B8470E">
            <w:pPr>
              <w:suppressAutoHyphens/>
              <w:autoSpaceDE w:val="0"/>
              <w:autoSpaceDN w:val="0"/>
              <w:adjustRightInd w:val="0"/>
              <w:rPr>
                <w:rFonts w:ascii="PT Astra Serif" w:hAnsi="PT Astra Serif"/>
                <w:szCs w:val="18"/>
                <w:u w:val="single"/>
                <w:lang w:eastAsia="zh-CN"/>
              </w:rPr>
            </w:pPr>
            <w:r w:rsidRPr="00D14EF5">
              <w:rPr>
                <w:rFonts w:ascii="PT Astra Serif" w:hAnsi="PT Astra Serif"/>
                <w:szCs w:val="18"/>
                <w:u w:val="single"/>
                <w:lang w:eastAsia="zh-CN"/>
              </w:rPr>
              <w:t xml:space="preserve">Возможности программного обеспечения «Гранд-Смета </w:t>
            </w:r>
            <w:proofErr w:type="spellStart"/>
            <w:r w:rsidRPr="00D14EF5">
              <w:rPr>
                <w:rFonts w:ascii="PT Astra Serif" w:hAnsi="PT Astra Serif"/>
                <w:szCs w:val="18"/>
                <w:u w:val="single"/>
                <w:lang w:eastAsia="zh-CN"/>
              </w:rPr>
              <w:t>проф</w:t>
            </w:r>
            <w:proofErr w:type="spellEnd"/>
            <w:r w:rsidRPr="00D14EF5">
              <w:rPr>
                <w:rFonts w:ascii="PT Astra Serif" w:hAnsi="PT Astra Serif"/>
                <w:szCs w:val="18"/>
                <w:u w:val="single"/>
                <w:lang w:eastAsia="zh-CN"/>
              </w:rPr>
              <w:t>:</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Ведение накопительных ведомостей КС-6 и КС-6а;</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отчёта о расходе основных материалов (форма М-29);</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Сводный сметный расчёт стоимости строительства, с возможностью автоматического создания на основе локальных, объектных расчётов, составленных в программе. </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ведомости объёмов работ по смете на основе данных локальной сметы;</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создание ресурсной ведомости на основе данных локальной сметы;</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Формирование сводной ресурсной ведомости;</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Использование для расчёта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пересчёта в текущий уровень цен, автоматическая загрузка базисных и текущих цен. Возможность приёма-передачи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1B1CFA" w:rsidRPr="00D14EF5" w:rsidRDefault="001B1CFA"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Экспорт документов в формат </w:t>
            </w:r>
            <w:proofErr w:type="spellStart"/>
            <w:r w:rsidRPr="00D14EF5">
              <w:rPr>
                <w:rFonts w:ascii="PT Astra Serif" w:hAnsi="PT Astra Serif"/>
                <w:szCs w:val="18"/>
                <w:lang w:eastAsia="zh-CN"/>
              </w:rPr>
              <w:t>Excel</w:t>
            </w:r>
            <w:proofErr w:type="spellEnd"/>
            <w:r w:rsidRPr="00D14EF5">
              <w:rPr>
                <w:rFonts w:ascii="PT Astra Serif" w:hAnsi="PT Astra Serif"/>
                <w:szCs w:val="18"/>
                <w:lang w:eastAsia="zh-CN"/>
              </w:rPr>
              <w:t xml:space="preserve">, </w:t>
            </w:r>
            <w:proofErr w:type="spellStart"/>
            <w:r w:rsidRPr="00D14EF5">
              <w:rPr>
                <w:rFonts w:ascii="PT Astra Serif" w:hAnsi="PT Astra Serif"/>
                <w:szCs w:val="18"/>
                <w:lang w:eastAsia="zh-CN"/>
              </w:rPr>
              <w:t>OpenOffice</w:t>
            </w:r>
            <w:proofErr w:type="spellEnd"/>
            <w:r w:rsidRPr="00D14EF5">
              <w:rPr>
                <w:rFonts w:ascii="PT Astra Serif" w:hAnsi="PT Astra Serif"/>
                <w:szCs w:val="18"/>
                <w:lang w:eastAsia="zh-CN"/>
              </w:rPr>
              <w:t>;</w:t>
            </w:r>
          </w:p>
          <w:p w:rsidR="001B1CFA" w:rsidRPr="00D14EF5" w:rsidRDefault="001B1CFA" w:rsidP="00B8470E">
            <w:pPr>
              <w:jc w:val="both"/>
              <w:rPr>
                <w:rFonts w:ascii="PT Astra Serif" w:eastAsia="Arial" w:hAnsi="PT Astra Serif" w:cs="Tahoma"/>
                <w:szCs w:val="22"/>
              </w:rPr>
            </w:pPr>
            <w:r w:rsidRPr="00D14EF5">
              <w:rPr>
                <w:rFonts w:ascii="PT Astra Serif" w:hAnsi="PT Astra Serif"/>
                <w:szCs w:val="18"/>
                <w:lang w:eastAsia="zh-CN"/>
              </w:rPr>
              <w:t xml:space="preserve">- Просмотр смет, сохранённых в формате </w:t>
            </w:r>
            <w:proofErr w:type="spellStart"/>
            <w:r w:rsidRPr="00D14EF5">
              <w:rPr>
                <w:rFonts w:ascii="PT Astra Serif" w:hAnsi="PT Astra Serif"/>
                <w:szCs w:val="18"/>
                <w:lang w:eastAsia="zh-CN"/>
              </w:rPr>
              <w:t>xml</w:t>
            </w:r>
            <w:proofErr w:type="spellEnd"/>
            <w:r w:rsidRPr="00D14EF5">
              <w:rPr>
                <w:rFonts w:ascii="PT Astra Serif" w:hAnsi="PT Astra Serif"/>
                <w:szCs w:val="18"/>
                <w:lang w:eastAsia="zh-CN"/>
              </w:rPr>
              <w:t>, в браузере без использования программы.</w:t>
            </w:r>
          </w:p>
        </w:tc>
      </w:tr>
    </w:tbl>
    <w:p w:rsidR="001B1CFA" w:rsidRPr="00071C66" w:rsidRDefault="001B1CFA" w:rsidP="001B1CFA">
      <w:pPr>
        <w:ind w:firstLine="709"/>
        <w:jc w:val="both"/>
        <w:rPr>
          <w:rFonts w:ascii="PT Astra Serif" w:hAnsi="PT Astra Serif"/>
          <w:b/>
          <w:sz w:val="24"/>
          <w:szCs w:val="24"/>
        </w:rPr>
      </w:pPr>
    </w:p>
    <w:p w:rsidR="001B1CFA" w:rsidRPr="00071C66" w:rsidRDefault="001B1CFA" w:rsidP="001B1CFA">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lastRenderedPageBreak/>
        <w:t xml:space="preserve">4) проведение ежемесячных обучающих </w:t>
      </w:r>
      <w:proofErr w:type="spellStart"/>
      <w:r w:rsidRPr="00071C66">
        <w:rPr>
          <w:rFonts w:ascii="PT Astra Serif" w:hAnsi="PT Astra Serif"/>
          <w:sz w:val="24"/>
          <w:szCs w:val="24"/>
        </w:rPr>
        <w:t>вебинаров</w:t>
      </w:r>
      <w:proofErr w:type="spellEnd"/>
      <w:r w:rsidRPr="00071C66">
        <w:rPr>
          <w:rFonts w:ascii="PT Astra Serif" w:hAnsi="PT Astra Serif"/>
          <w:sz w:val="24"/>
          <w:szCs w:val="24"/>
        </w:rPr>
        <w:t xml:space="preserve"> по работе с ПК «Гранд-Смета»;</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1B1CFA" w:rsidRPr="00071C66" w:rsidRDefault="001B1CFA" w:rsidP="001B1CFA">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93667B" w:rsidRDefault="0093667B">
      <w:pPr>
        <w:pStyle w:val="10"/>
        <w:spacing w:after="0" w:line="240" w:lineRule="auto"/>
        <w:ind w:firstLine="708"/>
        <w:rPr>
          <w:rFonts w:ascii="PT Astra Serif" w:hAnsi="PT Astra Serif"/>
          <w:u w:val="single"/>
        </w:rPr>
      </w:pPr>
    </w:p>
    <w:p w:rsidR="001B1CFA" w:rsidRPr="00CF690A" w:rsidRDefault="001B1CFA">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p w:rsidR="00D91FE3" w:rsidRPr="00CF690A" w:rsidRDefault="00D91FE3" w:rsidP="00060447">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17" w:rsidRDefault="00C85A17">
      <w:r>
        <w:separator/>
      </w:r>
    </w:p>
  </w:endnote>
  <w:endnote w:type="continuationSeparator" w:id="0">
    <w:p w:rsidR="00C85A17" w:rsidRDefault="00C8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464EB2">
          <w:rPr>
            <w:noProof/>
          </w:rPr>
          <w:t>12</w:t>
        </w:r>
        <w:r>
          <w:fldChar w:fldCharType="end"/>
        </w:r>
      </w:p>
    </w:sdtContent>
  </w:sdt>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17" w:rsidRDefault="00C85A17">
      <w:r>
        <w:separator/>
      </w:r>
    </w:p>
  </w:footnote>
  <w:footnote w:type="continuationSeparator" w:id="0">
    <w:p w:rsidR="00C85A17" w:rsidRDefault="00C85A17">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670849" w:rsidRDefault="00670849"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C7465"/>
    <w:rsid w:val="000D3542"/>
    <w:rsid w:val="000D7590"/>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A6DDC"/>
    <w:rsid w:val="001B1CFA"/>
    <w:rsid w:val="001B2F51"/>
    <w:rsid w:val="001C3F7F"/>
    <w:rsid w:val="001D3581"/>
    <w:rsid w:val="00201057"/>
    <w:rsid w:val="00206DB6"/>
    <w:rsid w:val="00224832"/>
    <w:rsid w:val="00225FD7"/>
    <w:rsid w:val="0025389E"/>
    <w:rsid w:val="0026174D"/>
    <w:rsid w:val="0026552C"/>
    <w:rsid w:val="00272139"/>
    <w:rsid w:val="002B41E5"/>
    <w:rsid w:val="002C7FD0"/>
    <w:rsid w:val="002D068C"/>
    <w:rsid w:val="002E5391"/>
    <w:rsid w:val="002F1DFB"/>
    <w:rsid w:val="002F42C5"/>
    <w:rsid w:val="003338A4"/>
    <w:rsid w:val="0033576F"/>
    <w:rsid w:val="0034750C"/>
    <w:rsid w:val="00354BB5"/>
    <w:rsid w:val="003742B4"/>
    <w:rsid w:val="0037459D"/>
    <w:rsid w:val="00391001"/>
    <w:rsid w:val="00392E76"/>
    <w:rsid w:val="003951E0"/>
    <w:rsid w:val="00396178"/>
    <w:rsid w:val="003A7CFD"/>
    <w:rsid w:val="003B23A6"/>
    <w:rsid w:val="003C33C0"/>
    <w:rsid w:val="003C6043"/>
    <w:rsid w:val="003F0827"/>
    <w:rsid w:val="003F570D"/>
    <w:rsid w:val="00415987"/>
    <w:rsid w:val="0042067A"/>
    <w:rsid w:val="00427429"/>
    <w:rsid w:val="00441FAB"/>
    <w:rsid w:val="0044717D"/>
    <w:rsid w:val="00464EB2"/>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74BDC"/>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852B8"/>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219"/>
    <w:rsid w:val="0095084E"/>
    <w:rsid w:val="00963824"/>
    <w:rsid w:val="009767B7"/>
    <w:rsid w:val="00981320"/>
    <w:rsid w:val="00991309"/>
    <w:rsid w:val="00997C8D"/>
    <w:rsid w:val="009A49D1"/>
    <w:rsid w:val="009D4AD2"/>
    <w:rsid w:val="009F1CEF"/>
    <w:rsid w:val="00A05F80"/>
    <w:rsid w:val="00A072E3"/>
    <w:rsid w:val="00A15666"/>
    <w:rsid w:val="00A160D8"/>
    <w:rsid w:val="00A21438"/>
    <w:rsid w:val="00A23313"/>
    <w:rsid w:val="00A23FEA"/>
    <w:rsid w:val="00A47DB7"/>
    <w:rsid w:val="00A559FC"/>
    <w:rsid w:val="00A66EDA"/>
    <w:rsid w:val="00A71795"/>
    <w:rsid w:val="00A74D4A"/>
    <w:rsid w:val="00A750EE"/>
    <w:rsid w:val="00A75828"/>
    <w:rsid w:val="00AA794F"/>
    <w:rsid w:val="00AB74E0"/>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85A17"/>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6574"/>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249EA"/>
    <w:rsid w:val="00F65EBA"/>
    <w:rsid w:val="00F673B4"/>
    <w:rsid w:val="00F724F2"/>
    <w:rsid w:val="00F728E3"/>
    <w:rsid w:val="00F7399E"/>
    <w:rsid w:val="00F75CB9"/>
    <w:rsid w:val="00F81621"/>
    <w:rsid w:val="00F85A7E"/>
    <w:rsid w:val="00F972A0"/>
    <w:rsid w:val="00F97894"/>
    <w:rsid w:val="00FA2742"/>
    <w:rsid w:val="00FA41EC"/>
    <w:rsid w:val="00FA641F"/>
    <w:rsid w:val="00FA73CB"/>
    <w:rsid w:val="00FB306D"/>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DEEE"/>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311D-CA12-4EEC-89B0-8B90D977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6009</Words>
  <Characters>34255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23</cp:revision>
  <cp:lastPrinted>2020-04-30T10:50:00Z</cp:lastPrinted>
  <dcterms:created xsi:type="dcterms:W3CDTF">2020-01-31T05:12:00Z</dcterms:created>
  <dcterms:modified xsi:type="dcterms:W3CDTF">2020-05-18T06:37:00Z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