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9C6A36" w:rsidRPr="009C6A36">
        <w:rPr>
          <w:rFonts w:ascii="PT Astra Serif" w:eastAsia="Times New Roman" w:hAnsi="PT Astra Serif" w:cs="Times New Roman"/>
          <w:sz w:val="28"/>
          <w:szCs w:val="28"/>
          <w:lang w:eastAsia="ru-RU"/>
        </w:rPr>
        <w:t>213862200236886220100101360011712244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w:t>
      </w:r>
      <w:proofErr w:type="gramStart"/>
      <w:r w:rsidRPr="0052573C">
        <w:rPr>
          <w:rFonts w:ascii="PT Astra Serif" w:eastAsia="Times New Roman" w:hAnsi="PT Astra Serif" w:cs="Times New Roman"/>
          <w:color w:val="00000A"/>
          <w:sz w:val="28"/>
          <w:szCs w:val="28"/>
          <w:lang w:eastAsia="ru-RU"/>
        </w:rPr>
        <w:t>именуемая</w:t>
      </w:r>
      <w:proofErr w:type="gramEnd"/>
      <w:r w:rsidRPr="0052573C">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от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8958AD" w:rsidRPr="0052573C">
        <w:rPr>
          <w:rFonts w:ascii="PT Astra Serif" w:hAnsi="PT Astra Serif"/>
          <w:bCs/>
          <w:color w:val="auto"/>
          <w:sz w:val="28"/>
          <w:szCs w:val="28"/>
        </w:rPr>
        <w:t xml:space="preserve">бумагу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Pr="0052573C">
        <w:rPr>
          <w:rFonts w:ascii="PT Astra Serif" w:hAnsi="PT Astra Serif"/>
          <w:color w:val="000099"/>
          <w:sz w:val="28"/>
          <w:szCs w:val="28"/>
        </w:rPr>
        <w:t xml:space="preserve">бюджет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на 202</w:t>
      </w:r>
      <w:r w:rsidR="004121D6" w:rsidRPr="0052573C">
        <w:rPr>
          <w:rFonts w:ascii="PT Astra Serif" w:hAnsi="PT Astra Serif"/>
          <w:color w:val="000099"/>
          <w:sz w:val="28"/>
          <w:szCs w:val="28"/>
        </w:rPr>
        <w:t>1</w:t>
      </w:r>
      <w:r w:rsidRPr="0052573C">
        <w:rPr>
          <w:rFonts w:ascii="PT Astra Serif" w:hAnsi="PT Astra Serif"/>
          <w:color w:val="000099"/>
          <w:sz w:val="28"/>
          <w:szCs w:val="28"/>
        </w:rPr>
        <w:t xml:space="preserve"> год (</w:t>
      </w:r>
      <w:r w:rsidR="006636D0" w:rsidRPr="006636D0">
        <w:rPr>
          <w:rFonts w:ascii="PT Astra Serif" w:hAnsi="PT Astra Serif"/>
          <w:color w:val="000099"/>
          <w:sz w:val="28"/>
          <w:szCs w:val="28"/>
        </w:rPr>
        <w:t>Субвенция на осуществление деятельности по опеке и попечительству</w:t>
      </w:r>
      <w:r w:rsidRPr="0052573C">
        <w:rPr>
          <w:rFonts w:ascii="PT Astra Serif" w:hAnsi="PT Astra Serif"/>
          <w:color w:val="000099"/>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 Товарные накладные оформляются отдельно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xml:space="preserve"> и его структурные подразделения, согласно спецификации (приложение к контракту)</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w:t>
      </w:r>
      <w:r w:rsidRPr="0052573C">
        <w:rPr>
          <w:rFonts w:ascii="PT Astra Serif" w:hAnsi="PT Astra Serif" w:cs="Times New Roman"/>
          <w:sz w:val="28"/>
          <w:szCs w:val="28"/>
        </w:rPr>
        <w:tab/>
        <w:t xml:space="preserve">администрация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w:t>
      </w:r>
      <w:r w:rsidRPr="0052573C">
        <w:rPr>
          <w:rFonts w:ascii="PT Astra Serif" w:hAnsi="PT Astra Serif" w:cs="Times New Roman"/>
          <w:sz w:val="28"/>
          <w:szCs w:val="28"/>
        </w:rPr>
        <w:tab/>
      </w:r>
      <w:r w:rsidR="000119FB">
        <w:rPr>
          <w:rFonts w:ascii="PT Astra Serif" w:hAnsi="PT Astra Serif" w:cs="Times New Roman"/>
          <w:sz w:val="28"/>
          <w:szCs w:val="28"/>
        </w:rPr>
        <w:t xml:space="preserve">отдел </w:t>
      </w:r>
      <w:r w:rsidR="000119FB" w:rsidRPr="000119FB">
        <w:rPr>
          <w:rFonts w:ascii="PT Astra Serif" w:hAnsi="PT Astra Serif" w:cs="Times New Roman"/>
          <w:sz w:val="28"/>
          <w:szCs w:val="28"/>
        </w:rPr>
        <w:t>по опеке и попечительству</w:t>
      </w:r>
      <w:r w:rsidRPr="0052573C">
        <w:rPr>
          <w:rFonts w:ascii="PT Astra Serif" w:hAnsi="PT Astra Serif" w:cs="Times New Roman"/>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w:t>
      </w:r>
      <w:proofErr w:type="spellStart"/>
      <w:r w:rsidRPr="0052573C">
        <w:rPr>
          <w:rFonts w:ascii="PT Astra Serif" w:hAnsi="PT Astra Serif"/>
          <w:color w:val="000099"/>
          <w:sz w:val="28"/>
          <w:szCs w:val="28"/>
        </w:rPr>
        <w:t>Югорск</w:t>
      </w:r>
      <w:proofErr w:type="spellEnd"/>
      <w:r w:rsidRPr="0052573C">
        <w:rPr>
          <w:rFonts w:ascii="PT Astra Serif" w:hAnsi="PT Astra Serif"/>
          <w:color w:val="000099"/>
          <w:sz w:val="28"/>
          <w:szCs w:val="28"/>
        </w:rPr>
        <w:t xml:space="preserve">,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30</w:t>
      </w:r>
      <w:r w:rsidRPr="0052573C">
        <w:rPr>
          <w:rFonts w:ascii="PT Astra Serif" w:hAnsi="PT Astra Serif"/>
          <w:color w:val="000099"/>
          <w:sz w:val="28"/>
          <w:szCs w:val="28"/>
        </w:rPr>
        <w:t>.</w:t>
      </w:r>
      <w:r w:rsidR="00CA29F4" w:rsidRPr="0052573C">
        <w:rPr>
          <w:rFonts w:ascii="PT Astra Serif" w:hAnsi="PT Astra Serif"/>
          <w:color w:val="000099"/>
          <w:sz w:val="28"/>
          <w:szCs w:val="28"/>
        </w:rPr>
        <w:t>0</w:t>
      </w:r>
      <w:r w:rsidR="00223DD9">
        <w:rPr>
          <w:rFonts w:ascii="PT Astra Serif" w:hAnsi="PT Astra Serif"/>
          <w:color w:val="000099"/>
          <w:sz w:val="28"/>
          <w:szCs w:val="28"/>
        </w:rPr>
        <w:t>6</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3.6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3.8. Право собственности и риск случайной гибели или порчи Товара переходит от Поставщика к Заказчику с момента приёмки Товара Заказчиком </w:t>
      </w:r>
      <w:r w:rsidRPr="0052573C">
        <w:rPr>
          <w:rFonts w:ascii="PT Astra Serif" w:hAnsi="PT Astra Serif"/>
          <w:sz w:val="28"/>
          <w:szCs w:val="28"/>
        </w:rPr>
        <w:lastRenderedPageBreak/>
        <w:t>и подписания Сторонами документов, указанных в пункте 3.6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дополнительного соглашения) поставить Товар, качество, технические и </w:t>
      </w:r>
      <w:r w:rsidRPr="0052573C">
        <w:rPr>
          <w:rFonts w:ascii="PT Astra Serif" w:hAnsi="PT Astra Serif"/>
          <w:sz w:val="28"/>
          <w:szCs w:val="28"/>
        </w:rPr>
        <w:lastRenderedPageBreak/>
        <w:t xml:space="preserve">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bookmarkStart w:id="2" w:name="_GoBack"/>
      <w:bookmarkEnd w:id="2"/>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3" w:name="P1554"/>
      <w:bookmarkEnd w:id="3"/>
      <w:r w:rsidRPr="0052573C">
        <w:rPr>
          <w:rFonts w:ascii="PT Astra Serif" w:hAnsi="PT Astra Serif"/>
          <w:sz w:val="28"/>
          <w:szCs w:val="28"/>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4" w:name="P1556"/>
      <w:bookmarkEnd w:id="4"/>
      <w:r w:rsidRPr="0052573C">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w:t>
      </w:r>
      <w:r w:rsidRPr="0052573C">
        <w:rPr>
          <w:rFonts w:ascii="PT Astra Serif" w:hAnsi="PT Astra Serif"/>
          <w:sz w:val="28"/>
          <w:szCs w:val="28"/>
        </w:rPr>
        <w:lastRenderedPageBreak/>
        <w:t xml:space="preserve">(_____)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w:t>
      </w:r>
      <w:r w:rsidRPr="0052573C">
        <w:rPr>
          <w:rFonts w:ascii="PT Astra Serif" w:hAnsi="PT Astra Serif"/>
          <w:color w:val="000099"/>
          <w:sz w:val="28"/>
          <w:szCs w:val="28"/>
        </w:rPr>
        <w:lastRenderedPageBreak/>
        <w:t xml:space="preserve">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w:t>
      </w:r>
      <w:r w:rsidRPr="0052573C">
        <w:rPr>
          <w:rFonts w:ascii="PT Astra Serif" w:hAnsi="PT Astra Serif"/>
          <w:sz w:val="28"/>
          <w:szCs w:val="28"/>
        </w:rPr>
        <w:lastRenderedPageBreak/>
        <w:t>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w:t>
      </w:r>
      <w:r w:rsidRPr="0052573C">
        <w:rPr>
          <w:rFonts w:ascii="PT Astra Serif" w:hAnsi="PT Astra Serif"/>
          <w:sz w:val="28"/>
          <w:szCs w:val="28"/>
        </w:rPr>
        <w:lastRenderedPageBreak/>
        <w:t>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10.2. В случае если надлежащее исполнение Стороной предусмотренных Контрактом обязательств оказалось невозможным </w:t>
      </w:r>
      <w:r w:rsidRPr="0052573C">
        <w:rPr>
          <w:rFonts w:ascii="PT Astra Serif" w:hAnsi="PT Astra Serif"/>
          <w:color w:val="auto"/>
          <w:sz w:val="28"/>
          <w:szCs w:val="28"/>
        </w:rPr>
        <w:lastRenderedPageBreak/>
        <w:t>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C649FC" w:rsidRPr="0052573C" w:rsidRDefault="00C649FC" w:rsidP="00C649FC">
      <w:pPr>
        <w:autoSpaceDE w:val="0"/>
        <w:autoSpaceDN w:val="0"/>
        <w:adjustRightInd w:val="0"/>
        <w:spacing w:after="0"/>
        <w:ind w:firstLine="709"/>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31.12.202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r w:rsidRPr="0052573C">
        <w:rPr>
          <w:rFonts w:ascii="PT Astra Serif" w:hAnsi="PT Astra Serif"/>
          <w:sz w:val="28"/>
          <w:szCs w:val="28"/>
        </w:rPr>
        <w:t>Окончание срока действия Контракта не влечёт прекращения неисполненных обязатель</w:t>
      </w:r>
      <w:proofErr w:type="gramStart"/>
      <w:r w:rsidRPr="0052573C">
        <w:rPr>
          <w:rFonts w:ascii="PT Astra Serif" w:hAnsi="PT Astra Serif"/>
          <w:sz w:val="28"/>
          <w:szCs w:val="28"/>
        </w:rPr>
        <w:t>ств Ст</w:t>
      </w:r>
      <w:proofErr w:type="gramEnd"/>
      <w:r w:rsidRPr="0052573C">
        <w:rPr>
          <w:rFonts w:ascii="PT Astra Serif" w:hAnsi="PT Astra Serif"/>
          <w:sz w:val="28"/>
          <w:szCs w:val="28"/>
        </w:rPr>
        <w:t>орон по Контракту, в том числе гарантийных обязательств Поставщика</w:t>
      </w:r>
      <w:r w:rsidRPr="0052573C">
        <w:rPr>
          <w:rFonts w:ascii="PT Astra Serif" w:hAnsi="PT Astra Serif"/>
          <w:color w:val="000099"/>
          <w:sz w:val="28"/>
          <w:szCs w:val="28"/>
        </w:rPr>
        <w:t>.</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г.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w:t>
            </w:r>
            <w:proofErr w:type="spellStart"/>
            <w:r>
              <w:rPr>
                <w:rFonts w:ascii="PT Astra Serif" w:eastAsia="Times New Roman" w:hAnsi="PT Astra Serif" w:cs="Times New Roman"/>
                <w:sz w:val="28"/>
                <w:szCs w:val="28"/>
                <w:lang w:eastAsia="ru-RU"/>
              </w:rPr>
              <w:t>Югорск</w:t>
            </w:r>
            <w:proofErr w:type="spellEnd"/>
            <w:r>
              <w:rPr>
                <w:rFonts w:ascii="PT Astra Serif" w:eastAsia="Times New Roman" w:hAnsi="PT Astra Serif" w:cs="Times New Roman"/>
                <w:sz w:val="28"/>
                <w:szCs w:val="28"/>
                <w:lang w:eastAsia="ru-RU"/>
              </w:rPr>
              <w:t xml:space="preserve">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8"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B24EDB"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Исполнитель</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Л.А. Михайлова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Исп. Гл. эксперт</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bCs/>
          <w:sz w:val="28"/>
          <w:szCs w:val="28"/>
          <w:lang w:eastAsia="ru-RU"/>
        </w:rPr>
        <w:t xml:space="preserve">М.Г. Филиппова, 8 (34675) 50047.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1F31D0" w:rsidRPr="0052573C" w:rsidRDefault="001F31D0" w:rsidP="001F31D0">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407514" w:rsidRPr="0052573C"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9C6A36" w:rsidRPr="009C6A36">
        <w:rPr>
          <w:rFonts w:ascii="PT Astra Serif" w:eastAsia="Times New Roman" w:hAnsi="PT Astra Serif" w:cs="Times New Roman"/>
          <w:sz w:val="28"/>
          <w:szCs w:val="28"/>
          <w:lang w:eastAsia="ru-RU"/>
        </w:rPr>
        <w:t>213862200236886220100101360011712244</w:t>
      </w:r>
      <w:r w:rsidRPr="0052573C">
        <w:rPr>
          <w:rFonts w:ascii="PT Astra Serif" w:eastAsia="Times New Roman" w:hAnsi="PT Astra Serif" w:cs="Times New Roman"/>
          <w:sz w:val="28"/>
          <w:szCs w:val="28"/>
          <w:lang w:eastAsia="ru-RU"/>
        </w:rPr>
        <w:t xml:space="preserve"> </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701"/>
        <w:gridCol w:w="1701"/>
        <w:gridCol w:w="709"/>
        <w:gridCol w:w="709"/>
        <w:gridCol w:w="1842"/>
        <w:gridCol w:w="1559"/>
      </w:tblGrid>
      <w:tr w:rsidR="00727303" w:rsidRPr="0052573C" w:rsidTr="0052573C">
        <w:trPr>
          <w:trHeight w:val="406"/>
        </w:trPr>
        <w:tc>
          <w:tcPr>
            <w:tcW w:w="6805"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52573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Код ОКПД 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842"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52573C">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52573C">
        <w:trPr>
          <w:trHeight w:val="525"/>
        </w:trPr>
        <w:tc>
          <w:tcPr>
            <w:tcW w:w="3686"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842"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46" w:rsidRDefault="00352346" w:rsidP="00407514">
      <w:pPr>
        <w:spacing w:after="0" w:line="240" w:lineRule="auto"/>
      </w:pPr>
      <w:r>
        <w:separator/>
      </w:r>
    </w:p>
  </w:endnote>
  <w:endnote w:type="continuationSeparator" w:id="0">
    <w:p w:rsidR="00352346" w:rsidRDefault="00352346"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46" w:rsidRDefault="00352346" w:rsidP="00407514">
      <w:pPr>
        <w:spacing w:after="0" w:line="240" w:lineRule="auto"/>
      </w:pPr>
      <w:r>
        <w:separator/>
      </w:r>
    </w:p>
  </w:footnote>
  <w:footnote w:type="continuationSeparator" w:id="0">
    <w:p w:rsidR="00352346" w:rsidRDefault="00352346"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B7E87"/>
    <w:rsid w:val="001D77E0"/>
    <w:rsid w:val="001F31D0"/>
    <w:rsid w:val="00215C31"/>
    <w:rsid w:val="00223DD9"/>
    <w:rsid w:val="00236FE8"/>
    <w:rsid w:val="002B0E67"/>
    <w:rsid w:val="002D6F3B"/>
    <w:rsid w:val="003064E0"/>
    <w:rsid w:val="00352346"/>
    <w:rsid w:val="0037469F"/>
    <w:rsid w:val="003D1E3B"/>
    <w:rsid w:val="00407514"/>
    <w:rsid w:val="004121D6"/>
    <w:rsid w:val="00436DEA"/>
    <w:rsid w:val="00444E9B"/>
    <w:rsid w:val="004538B8"/>
    <w:rsid w:val="004636F3"/>
    <w:rsid w:val="00467799"/>
    <w:rsid w:val="004811C2"/>
    <w:rsid w:val="00495885"/>
    <w:rsid w:val="004A51A9"/>
    <w:rsid w:val="004E2CD3"/>
    <w:rsid w:val="0052573C"/>
    <w:rsid w:val="00527D6D"/>
    <w:rsid w:val="0055448A"/>
    <w:rsid w:val="005C1B24"/>
    <w:rsid w:val="005F10FC"/>
    <w:rsid w:val="005F36CB"/>
    <w:rsid w:val="0060387F"/>
    <w:rsid w:val="006273D1"/>
    <w:rsid w:val="006636D0"/>
    <w:rsid w:val="00671C99"/>
    <w:rsid w:val="006966A3"/>
    <w:rsid w:val="00727303"/>
    <w:rsid w:val="008958AD"/>
    <w:rsid w:val="008976BF"/>
    <w:rsid w:val="008C544E"/>
    <w:rsid w:val="00903BCD"/>
    <w:rsid w:val="00913424"/>
    <w:rsid w:val="00921390"/>
    <w:rsid w:val="00975831"/>
    <w:rsid w:val="009A4882"/>
    <w:rsid w:val="009C6A36"/>
    <w:rsid w:val="009F5107"/>
    <w:rsid w:val="00A955BF"/>
    <w:rsid w:val="00AD566D"/>
    <w:rsid w:val="00AE2845"/>
    <w:rsid w:val="00AE6381"/>
    <w:rsid w:val="00B24EDB"/>
    <w:rsid w:val="00B31C14"/>
    <w:rsid w:val="00B3509A"/>
    <w:rsid w:val="00B425B3"/>
    <w:rsid w:val="00B72758"/>
    <w:rsid w:val="00BC0155"/>
    <w:rsid w:val="00BC41DA"/>
    <w:rsid w:val="00C03A0C"/>
    <w:rsid w:val="00C326E8"/>
    <w:rsid w:val="00C40888"/>
    <w:rsid w:val="00C5266E"/>
    <w:rsid w:val="00C649FC"/>
    <w:rsid w:val="00C66BE6"/>
    <w:rsid w:val="00C81190"/>
    <w:rsid w:val="00CA083E"/>
    <w:rsid w:val="00CA29F4"/>
    <w:rsid w:val="00CD686D"/>
    <w:rsid w:val="00D537B9"/>
    <w:rsid w:val="00D75D50"/>
    <w:rsid w:val="00E172FA"/>
    <w:rsid w:val="00E17C6E"/>
    <w:rsid w:val="00E34788"/>
    <w:rsid w:val="00E40CD9"/>
    <w:rsid w:val="00E72146"/>
    <w:rsid w:val="00E73B1C"/>
    <w:rsid w:val="00E92DF8"/>
    <w:rsid w:val="00EB35EA"/>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oleva_nb@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4918</Words>
  <Characters>28036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11</cp:revision>
  <cp:lastPrinted>2021-04-16T04:44:00Z</cp:lastPrinted>
  <dcterms:created xsi:type="dcterms:W3CDTF">2021-04-12T11:59:00Z</dcterms:created>
  <dcterms:modified xsi:type="dcterms:W3CDTF">2021-04-16T10:50:00Z</dcterms:modified>
</cp:coreProperties>
</file>