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47552C">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w:t>
            </w:r>
            <w:r w:rsidR="0047552C">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980484" w:rsidRDefault="00906974" w:rsidP="00197A83">
            <w:pPr>
              <w:autoSpaceDE w:val="0"/>
              <w:autoSpaceDN w:val="0"/>
              <w:adjustRightInd w:val="0"/>
              <w:spacing w:after="0"/>
            </w:pPr>
            <w:r w:rsidRPr="00980484">
              <w:rPr>
                <w:sz w:val="22"/>
                <w:szCs w:val="22"/>
              </w:rPr>
              <w:t xml:space="preserve">Застройщик обязан </w:t>
            </w:r>
            <w:r w:rsidR="00C33CA7" w:rsidRPr="00C33CA7">
              <w:rPr>
                <w:sz w:val="22"/>
                <w:szCs w:val="22"/>
              </w:rPr>
              <w:t>не позднее 4 квартала 2015 года ввести в эксплуатацию Объект и передать Объекты долевого строительства в собственность Муниципального заказчика не позднее 1 квартала 2016 года</w:t>
            </w:r>
            <w:r w:rsidR="00C33CA7">
              <w:rPr>
                <w:sz w:val="22"/>
                <w:szCs w:val="22"/>
              </w:rPr>
              <w:t>.</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2E5BF6" w:rsidP="006E2615">
            <w:pPr>
              <w:keepNext/>
              <w:keepLines/>
              <w:widowControl w:val="0"/>
              <w:suppressLineNumbers/>
              <w:suppressAutoHyphens/>
              <w:rPr>
                <w:rStyle w:val="afb"/>
                <w:i w:val="0"/>
              </w:rPr>
            </w:pPr>
            <w:r>
              <w:rPr>
                <w:rStyle w:val="afb"/>
                <w:b/>
                <w:i w:val="0"/>
                <w:sz w:val="22"/>
                <w:szCs w:val="22"/>
              </w:rPr>
              <w:t>1</w:t>
            </w:r>
            <w:r w:rsidR="00EB36EF">
              <w:rPr>
                <w:rStyle w:val="afb"/>
                <w:b/>
                <w:i w:val="0"/>
                <w:sz w:val="22"/>
                <w:szCs w:val="22"/>
              </w:rPr>
              <w:t>1</w:t>
            </w:r>
            <w:r w:rsidR="00273A3C">
              <w:rPr>
                <w:rStyle w:val="afb"/>
                <w:b/>
                <w:i w:val="0"/>
                <w:sz w:val="22"/>
                <w:szCs w:val="22"/>
              </w:rPr>
              <w:t> 459 500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24591D"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24591D" w:rsidRPr="000F6784" w:rsidRDefault="00F7019A" w:rsidP="0024591D">
            <w:pPr>
              <w:autoSpaceDE w:val="0"/>
              <w:autoSpaceDN w:val="0"/>
              <w:adjustRightInd w:val="0"/>
              <w:spacing w:after="0"/>
              <w:ind w:firstLine="317"/>
            </w:pPr>
            <w:r w:rsidRPr="00995F49">
              <w:rPr>
                <w:sz w:val="22"/>
                <w:szCs w:val="22"/>
              </w:rPr>
              <w:t xml:space="preserve">- </w:t>
            </w:r>
            <w:r w:rsidR="00C33CA7">
              <w:rPr>
                <w:sz w:val="22"/>
                <w:szCs w:val="22"/>
              </w:rPr>
              <w:t>при достижении 9</w:t>
            </w:r>
            <w:r w:rsidR="0024591D" w:rsidRPr="009D2AE8">
              <w:rPr>
                <w:sz w:val="22"/>
                <w:szCs w:val="22"/>
              </w:rPr>
              <w:t>0% степени стр</w:t>
            </w:r>
            <w:r w:rsidR="0024591D">
              <w:rPr>
                <w:sz w:val="22"/>
                <w:szCs w:val="22"/>
              </w:rPr>
              <w:t>оительной готовности Объекта – 9</w:t>
            </w:r>
            <w:r w:rsidR="00C33CA7">
              <w:rPr>
                <w:sz w:val="22"/>
                <w:szCs w:val="22"/>
              </w:rPr>
              <w:t>5</w:t>
            </w:r>
            <w:r w:rsidR="0024591D"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24591D" w:rsidRPr="000F6784">
              <w:rPr>
                <w:sz w:val="22"/>
                <w:szCs w:val="22"/>
              </w:rPr>
              <w:t>;</w:t>
            </w:r>
          </w:p>
          <w:p w:rsidR="0088731F" w:rsidRPr="00E84893" w:rsidRDefault="00B363F5" w:rsidP="00C33CA7">
            <w:r>
              <w:rPr>
                <w:sz w:val="22"/>
                <w:szCs w:val="22"/>
              </w:rPr>
              <w:lastRenderedPageBreak/>
              <w:t xml:space="preserve">- </w:t>
            </w:r>
            <w:r w:rsidR="0024591D">
              <w:rPr>
                <w:sz w:val="22"/>
                <w:szCs w:val="22"/>
              </w:rPr>
              <w:t xml:space="preserve">оставшиеся </w:t>
            </w:r>
            <w:r w:rsidR="00C33CA7">
              <w:rPr>
                <w:sz w:val="22"/>
                <w:szCs w:val="22"/>
              </w:rPr>
              <w:t>5</w:t>
            </w:r>
            <w:r w:rsidR="0024591D"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836DB1" w:rsidRDefault="00836DB1" w:rsidP="006E2615">
            <w:pPr>
              <w:pStyle w:val="31"/>
              <w:keepNext w:val="0"/>
              <w:numPr>
                <w:ilvl w:val="0"/>
                <w:numId w:val="0"/>
              </w:numPr>
              <w:spacing w:before="60"/>
              <w:rPr>
                <w:rFonts w:ascii="Times New Roman" w:hAnsi="Times New Roman"/>
                <w:b w:val="0"/>
                <w:bCs w:val="0"/>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273A3C">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lastRenderedPageBreak/>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E84893">
              <w:rPr>
                <w:sz w:val="22"/>
                <w:szCs w:val="22"/>
              </w:rPr>
              <w:lastRenderedPageBreak/>
              <w:t>(директором,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966B3" w:rsidRPr="008B0442" w:rsidRDefault="006966B3" w:rsidP="006966B3">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852214" w:rsidRDefault="006966B3" w:rsidP="006966B3">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Pr="00E84893">
              <w:lastRenderedPageBreak/>
              <w:t>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lastRenderedPageBreak/>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начала предоставления разъяснений положений документации об аукционе </w:t>
            </w:r>
            <w:r w:rsidR="008455D9">
              <w:rPr>
                <w:sz w:val="22"/>
                <w:szCs w:val="22"/>
              </w:rPr>
              <w:t>«</w:t>
            </w:r>
            <w:r w:rsidR="00020386">
              <w:rPr>
                <w:sz w:val="22"/>
                <w:szCs w:val="22"/>
              </w:rPr>
              <w:t>01</w:t>
            </w:r>
            <w:r w:rsidRPr="008455D9">
              <w:rPr>
                <w:sz w:val="22"/>
                <w:szCs w:val="22"/>
              </w:rPr>
              <w:t xml:space="preserve">»  </w:t>
            </w:r>
            <w:r w:rsidR="00020386">
              <w:t xml:space="preserve">декабря </w:t>
            </w:r>
            <w:bookmarkStart w:id="9" w:name="_GoBack"/>
            <w:bookmarkEnd w:id="9"/>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020386">
              <w:rPr>
                <w:sz w:val="22"/>
                <w:szCs w:val="22"/>
              </w:rPr>
              <w:t>14</w:t>
            </w:r>
            <w:r w:rsidR="00A05A73" w:rsidRPr="008455D9">
              <w:rPr>
                <w:sz w:val="22"/>
                <w:szCs w:val="22"/>
              </w:rPr>
              <w:t xml:space="preserve">»  </w:t>
            </w:r>
            <w:r w:rsidR="00020386">
              <w:t xml:space="preserve">декабря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020386">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020386">
              <w:rPr>
                <w:sz w:val="22"/>
                <w:szCs w:val="22"/>
              </w:rPr>
              <w:t>16</w:t>
            </w:r>
            <w:r w:rsidR="00A05A73" w:rsidRPr="008455D9">
              <w:rPr>
                <w:sz w:val="22"/>
                <w:szCs w:val="22"/>
              </w:rPr>
              <w:t xml:space="preserve">»  </w:t>
            </w:r>
            <w:r w:rsidR="00020386">
              <w:t xml:space="preserve">декабря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020386">
            <w:pPr>
              <w:spacing w:line="276" w:lineRule="auto"/>
            </w:pPr>
            <w:r>
              <w:rPr>
                <w:sz w:val="22"/>
                <w:szCs w:val="22"/>
              </w:rPr>
              <w:t>«</w:t>
            </w:r>
            <w:r w:rsidR="00020386">
              <w:rPr>
                <w:sz w:val="22"/>
                <w:szCs w:val="22"/>
              </w:rPr>
              <w:t>17</w:t>
            </w:r>
            <w:r w:rsidR="00A05A73">
              <w:rPr>
                <w:sz w:val="22"/>
                <w:szCs w:val="22"/>
              </w:rPr>
              <w:t xml:space="preserve">» </w:t>
            </w:r>
            <w:r w:rsidR="00020386">
              <w:t xml:space="preserve">декабря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020386">
            <w:pPr>
              <w:spacing w:line="276" w:lineRule="auto"/>
            </w:pPr>
            <w:r>
              <w:rPr>
                <w:sz w:val="22"/>
                <w:szCs w:val="22"/>
              </w:rPr>
              <w:t>«</w:t>
            </w:r>
            <w:r w:rsidR="00020386">
              <w:rPr>
                <w:sz w:val="22"/>
                <w:szCs w:val="22"/>
              </w:rPr>
              <w:t>21</w:t>
            </w:r>
            <w:r>
              <w:rPr>
                <w:sz w:val="22"/>
                <w:szCs w:val="22"/>
              </w:rPr>
              <w:t xml:space="preserve">» </w:t>
            </w:r>
            <w:r w:rsidR="00020386">
              <w:t xml:space="preserve">декабря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6966B3" w:rsidRPr="00597030" w:rsidRDefault="006966B3" w:rsidP="006966B3">
            <w:pPr>
              <w:pStyle w:val="afffff6"/>
              <w:jc w:val="both"/>
              <w:rPr>
                <w:rFonts w:ascii="Times New Roman" w:hAnsi="Times New Roman" w:cs="Times New Roman"/>
              </w:rPr>
            </w:pPr>
            <w:proofErr w:type="gramStart"/>
            <w:r>
              <w:rPr>
                <w:rFonts w:ascii="Times New Roman" w:hAnsi="Times New Roman" w:cs="Times New Roman"/>
                <w:sz w:val="22"/>
                <w:szCs w:val="22"/>
              </w:rPr>
              <w:t xml:space="preserve">а) </w:t>
            </w:r>
            <w:r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6966B3" w:rsidRPr="00597030" w:rsidRDefault="006966B3" w:rsidP="006966B3">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743264" w:rsidRDefault="006966B3" w:rsidP="006966B3">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Pr>
                <w:sz w:val="22"/>
                <w:szCs w:val="22"/>
              </w:rPr>
              <w:t>ачи заявок на участие в аукционе</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 xml:space="preserve">заявителя по уплате этих сумм исполненной и которые признаны безнадежными к взысканию в соответствии с </w:t>
            </w:r>
            <w:r w:rsidR="00E60056" w:rsidRPr="00E84893">
              <w:rPr>
                <w:kern w:val="1"/>
                <w:sz w:val="22"/>
                <w:szCs w:val="22"/>
                <w:lang w:eastAsia="ar-SA"/>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E84893">
              <w:rPr>
                <w:kern w:val="1"/>
                <w:sz w:val="22"/>
                <w:szCs w:val="22"/>
                <w:lang w:eastAsia="ar-SA"/>
              </w:rPr>
              <w:lastRenderedPageBreak/>
              <w:t>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lastRenderedPageBreak/>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w:t>
            </w:r>
            <w:r w:rsidRPr="00972499">
              <w:rPr>
                <w:sz w:val="22"/>
                <w:szCs w:val="22"/>
              </w:rPr>
              <w:lastRenderedPageBreak/>
              <w:t xml:space="preserve">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273A3C">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273A3C" w:rsidRPr="00273A3C">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273A3C">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273A3C">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EB36EF">
              <w:rPr>
                <w:kern w:val="1"/>
                <w:sz w:val="22"/>
                <w:szCs w:val="22"/>
                <w:lang w:eastAsia="ar-SA"/>
              </w:rPr>
              <w:t>57</w:t>
            </w:r>
            <w:r w:rsidR="00273A3C">
              <w:rPr>
                <w:kern w:val="1"/>
                <w:sz w:val="22"/>
                <w:szCs w:val="22"/>
                <w:lang w:eastAsia="ar-SA"/>
              </w:rPr>
              <w:t> 297,5</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F9631D">
            <w:pPr>
              <w:rPr>
                <w:u w:val="single"/>
              </w:rPr>
            </w:pPr>
            <w:r w:rsidRPr="00972499">
              <w:rPr>
                <w:sz w:val="22"/>
                <w:szCs w:val="22"/>
                <w:u w:val="single"/>
              </w:rPr>
              <w:t>На</w:t>
            </w:r>
            <w:r w:rsidR="00B53C69">
              <w:rPr>
                <w:sz w:val="22"/>
                <w:szCs w:val="22"/>
                <w:u w:val="single"/>
              </w:rPr>
              <w:t xml:space="preserve">значение платежа: </w:t>
            </w:r>
            <w:r w:rsidRPr="00972499">
              <w:rPr>
                <w:sz w:val="22"/>
                <w:szCs w:val="22"/>
                <w:u w:val="single"/>
              </w:rPr>
              <w:t xml:space="preserve">мероприятие 70.04.00.  обеспечение  исполнения </w:t>
            </w:r>
            <w:r w:rsidR="00424BE4">
              <w:rPr>
                <w:sz w:val="22"/>
                <w:szCs w:val="22"/>
                <w:u w:val="single"/>
              </w:rPr>
              <w:t xml:space="preserve">муниципального </w:t>
            </w:r>
            <w:r w:rsidRPr="00972499">
              <w:rPr>
                <w:sz w:val="22"/>
                <w:szCs w:val="22"/>
                <w:u w:val="single"/>
              </w:rPr>
              <w:t>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предложенной таким </w:t>
            </w:r>
            <w:r w:rsidRPr="001F6398">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lastRenderedPageBreak/>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w:t>
            </w:r>
            <w:r w:rsidRPr="00325B59">
              <w:rPr>
                <w:rFonts w:ascii="Times New Roman" w:hAnsi="Times New Roman"/>
                <w:sz w:val="22"/>
                <w:szCs w:val="22"/>
              </w:rPr>
              <w:lastRenderedPageBreak/>
              <w:t>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w:t>
            </w:r>
            <w:r w:rsidRPr="00DE60B5">
              <w:rPr>
                <w:rFonts w:ascii="Times New Roman" w:hAnsi="Times New Roman" w:cs="Times New Roman"/>
                <w:sz w:val="22"/>
                <w:szCs w:val="22"/>
              </w:rPr>
              <w:lastRenderedPageBreak/>
              <w:t>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46C96" w:rsidRDefault="00546C96" w:rsidP="00546C96">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46C96" w:rsidRDefault="00546C96" w:rsidP="00546C96">
      <w:pPr>
        <w:snapToGrid w:val="0"/>
        <w:jc w:val="center"/>
        <w:rPr>
          <w:b/>
          <w:sz w:val="22"/>
        </w:rPr>
      </w:pPr>
    </w:p>
    <w:p w:rsidR="00147759" w:rsidRDefault="00147759" w:rsidP="00546C96">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546C96" w:rsidTr="002D62DE">
        <w:trPr>
          <w:tblHeader/>
        </w:trPr>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w:t>
            </w:r>
          </w:p>
          <w:p w:rsidR="00546C96" w:rsidRDefault="00546C96" w:rsidP="002D62DE">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2D62DE">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546C96" w:rsidRDefault="00546C96" w:rsidP="002D62DE">
            <w:pPr>
              <w:autoSpaceDE w:val="0"/>
              <w:snapToGrid w:val="0"/>
              <w:spacing w:line="276" w:lineRule="auto"/>
              <w:ind w:right="-174"/>
              <w:jc w:val="center"/>
              <w:rPr>
                <w:b/>
                <w:sz w:val="20"/>
                <w:lang w:eastAsia="en-US"/>
              </w:rPr>
            </w:pP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line="276" w:lineRule="auto"/>
              <w:jc w:val="center"/>
              <w:rPr>
                <w:sz w:val="20"/>
                <w:lang w:eastAsia="en-US"/>
              </w:rPr>
            </w:pPr>
            <w:r>
              <w:rPr>
                <w:sz w:val="20"/>
                <w:lang w:eastAsia="en-US"/>
              </w:rPr>
              <w:t>в многоквартирном доме в городе Югорске</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line="276" w:lineRule="auto"/>
              <w:jc w:val="center"/>
              <w:rPr>
                <w:sz w:val="20"/>
                <w:lang w:eastAsia="en-US"/>
              </w:rPr>
            </w:pPr>
            <w:r>
              <w:rPr>
                <w:sz w:val="20"/>
                <w:lang w:eastAsia="en-US"/>
              </w:rPr>
              <w:t>Капитальное</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 xml:space="preserve">Стоимость 1 </w:t>
            </w:r>
            <w:proofErr w:type="spellStart"/>
            <w:r>
              <w:rPr>
                <w:b/>
                <w:sz w:val="20"/>
                <w:lang w:eastAsia="en-US"/>
              </w:rPr>
              <w:t>кв.м</w:t>
            </w:r>
            <w:proofErr w:type="spellEnd"/>
            <w:r>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546C96">
            <w:pPr>
              <w:snapToGrid w:val="0"/>
              <w:spacing w:line="276" w:lineRule="auto"/>
              <w:jc w:val="center"/>
              <w:rPr>
                <w:sz w:val="20"/>
                <w:lang w:eastAsia="en-US"/>
              </w:rPr>
            </w:pPr>
            <w:r>
              <w:rPr>
                <w:sz w:val="20"/>
                <w:lang w:eastAsia="en-US"/>
              </w:rPr>
              <w:t>Не более 53 300 рублей</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after="0" w:line="276" w:lineRule="auto"/>
              <w:rPr>
                <w:color w:val="000000"/>
                <w:sz w:val="20"/>
                <w:szCs w:val="20"/>
                <w:lang w:eastAsia="en-US"/>
              </w:rPr>
            </w:pPr>
            <w:r>
              <w:rPr>
                <w:color w:val="000000"/>
                <w:sz w:val="20"/>
                <w:szCs w:val="20"/>
                <w:lang w:eastAsia="en-US"/>
              </w:rPr>
              <w:t>Квартиры оборудованы:</w:t>
            </w:r>
          </w:p>
          <w:p w:rsidR="00546C96" w:rsidRDefault="00546C96" w:rsidP="002D62DE">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546C96" w:rsidRDefault="00546C96" w:rsidP="002D62DE">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546C96" w:rsidRPr="003E0E26" w:rsidRDefault="00546C96" w:rsidP="002D62DE">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autoSpaceDE w:val="0"/>
              <w:snapToGrid w:val="0"/>
              <w:spacing w:line="276" w:lineRule="auto"/>
              <w:ind w:right="-174"/>
              <w:jc w:val="center"/>
              <w:rPr>
                <w:sz w:val="20"/>
                <w:lang w:eastAsia="en-US"/>
              </w:rPr>
            </w:pPr>
            <w:r>
              <w:rPr>
                <w:sz w:val="20"/>
                <w:lang w:eastAsia="en-US"/>
              </w:rPr>
              <w:t>Не менее 60%</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pStyle w:val="aff7"/>
              <w:jc w:val="both"/>
              <w:rPr>
                <w:lang w:eastAsia="en-US"/>
              </w:rPr>
            </w:pPr>
            <w:r>
              <w:rPr>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546C96" w:rsidTr="002D62DE">
        <w:tc>
          <w:tcPr>
            <w:tcW w:w="654"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C33CA7">
            <w:pPr>
              <w:autoSpaceDE w:val="0"/>
              <w:snapToGrid w:val="0"/>
              <w:spacing w:line="276" w:lineRule="auto"/>
              <w:ind w:right="-174"/>
              <w:jc w:val="center"/>
              <w:rPr>
                <w:sz w:val="20"/>
                <w:lang w:eastAsia="en-US"/>
              </w:rPr>
            </w:pPr>
            <w:r>
              <w:rPr>
                <w:sz w:val="20"/>
                <w:lang w:eastAsia="en-US"/>
              </w:rPr>
              <w:t xml:space="preserve">Не позднее </w:t>
            </w:r>
            <w:r w:rsidR="00C33CA7">
              <w:rPr>
                <w:sz w:val="20"/>
                <w:lang w:eastAsia="en-US"/>
              </w:rPr>
              <w:t>4 квартала 2015</w:t>
            </w:r>
            <w:r>
              <w:rPr>
                <w:sz w:val="20"/>
                <w:lang w:eastAsia="en-US"/>
              </w:rPr>
              <w:t xml:space="preserve"> года</w:t>
            </w:r>
          </w:p>
        </w:tc>
      </w:tr>
      <w:tr w:rsidR="00546C96" w:rsidTr="002D62DE">
        <w:tc>
          <w:tcPr>
            <w:tcW w:w="654"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546C96" w:rsidRDefault="00EB36EF" w:rsidP="002D62DE">
            <w:pPr>
              <w:autoSpaceDE w:val="0"/>
              <w:snapToGrid w:val="0"/>
              <w:spacing w:line="276" w:lineRule="auto"/>
              <w:ind w:right="-174"/>
              <w:jc w:val="center"/>
              <w:rPr>
                <w:sz w:val="20"/>
                <w:lang w:eastAsia="en-US"/>
              </w:rPr>
            </w:pPr>
            <w:r>
              <w:rPr>
                <w:sz w:val="20"/>
                <w:lang w:eastAsia="en-US"/>
              </w:rPr>
              <w:t>3</w:t>
            </w:r>
          </w:p>
        </w:tc>
      </w:tr>
      <w:tr w:rsidR="00546C96" w:rsidTr="002D62DE">
        <w:tc>
          <w:tcPr>
            <w:tcW w:w="654" w:type="dxa"/>
            <w:tcBorders>
              <w:top w:val="single" w:sz="4" w:space="0" w:color="000000"/>
              <w:left w:val="single" w:sz="4" w:space="0" w:color="000000"/>
              <w:bottom w:val="single" w:sz="4" w:space="0" w:color="000000"/>
              <w:right w:val="nil"/>
            </w:tcBorders>
          </w:tcPr>
          <w:p w:rsidR="00546C96" w:rsidRDefault="00546C96" w:rsidP="00C33CA7">
            <w:pPr>
              <w:autoSpaceDE w:val="0"/>
              <w:snapToGrid w:val="0"/>
              <w:spacing w:line="276" w:lineRule="auto"/>
              <w:ind w:right="-174"/>
              <w:jc w:val="center"/>
              <w:rPr>
                <w:b/>
                <w:sz w:val="20"/>
                <w:lang w:eastAsia="en-US"/>
              </w:rPr>
            </w:pPr>
            <w:r>
              <w:rPr>
                <w:b/>
                <w:sz w:val="20"/>
                <w:lang w:eastAsia="en-US"/>
              </w:rPr>
              <w:t>1</w:t>
            </w:r>
            <w:r w:rsidR="00C33CA7">
              <w:rPr>
                <w:b/>
                <w:sz w:val="20"/>
                <w:lang w:eastAsia="en-US"/>
              </w:rPr>
              <w:t>0</w:t>
            </w:r>
          </w:p>
        </w:tc>
        <w:tc>
          <w:tcPr>
            <w:tcW w:w="3078"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jc w:val="center"/>
              <w:rPr>
                <w:b/>
                <w:sz w:val="20"/>
                <w:lang w:eastAsia="en-US"/>
              </w:rPr>
            </w:pPr>
            <w:r>
              <w:rPr>
                <w:b/>
                <w:sz w:val="20"/>
                <w:lang w:eastAsia="en-US"/>
              </w:rPr>
              <w:t>Общая площадь квартир (проектная)</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273A3C">
            <w:pPr>
              <w:autoSpaceDE w:val="0"/>
              <w:snapToGrid w:val="0"/>
              <w:spacing w:line="276" w:lineRule="auto"/>
              <w:jc w:val="center"/>
              <w:rPr>
                <w:sz w:val="20"/>
                <w:lang w:eastAsia="en-US"/>
              </w:rPr>
            </w:pPr>
            <w:r>
              <w:rPr>
                <w:sz w:val="20"/>
                <w:lang w:eastAsia="en-US"/>
              </w:rPr>
              <w:t xml:space="preserve">Не менее </w:t>
            </w:r>
            <w:r w:rsidR="00273A3C">
              <w:rPr>
                <w:sz w:val="20"/>
                <w:lang w:eastAsia="en-US"/>
              </w:rPr>
              <w:t>215</w:t>
            </w:r>
            <w:r>
              <w:rPr>
                <w:sz w:val="20"/>
                <w:lang w:eastAsia="en-US"/>
              </w:rPr>
              <w:t xml:space="preserve"> кв. метров (за исключением балконов, лоджий)</w:t>
            </w:r>
          </w:p>
        </w:tc>
      </w:tr>
    </w:tbl>
    <w:p w:rsidR="00546C96" w:rsidRDefault="00546C96" w:rsidP="00546C96">
      <w:pPr>
        <w:keepNext/>
        <w:keepLines/>
        <w:widowControl w:val="0"/>
        <w:suppressLineNumbers/>
        <w:jc w:val="left"/>
        <w:rPr>
          <w:b/>
        </w:rPr>
      </w:pPr>
    </w:p>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C33CA7" w:rsidRDefault="00C33CA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47552C">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A327F5" w:rsidRPr="000F6784" w:rsidRDefault="00A327F5" w:rsidP="00A327F5">
      <w:pPr>
        <w:autoSpaceDE w:val="0"/>
        <w:autoSpaceDN w:val="0"/>
        <w:adjustRightInd w:val="0"/>
        <w:spacing w:after="0"/>
        <w:ind w:firstLine="317"/>
      </w:pPr>
      <w:r w:rsidRPr="00995F49">
        <w:rPr>
          <w:sz w:val="22"/>
          <w:szCs w:val="22"/>
        </w:rPr>
        <w:t xml:space="preserve">- </w:t>
      </w:r>
      <w:r>
        <w:rPr>
          <w:sz w:val="22"/>
          <w:szCs w:val="22"/>
        </w:rPr>
        <w:t>при достиже</w:t>
      </w:r>
      <w:r w:rsidR="00C33CA7">
        <w:rPr>
          <w:sz w:val="22"/>
          <w:szCs w:val="22"/>
        </w:rPr>
        <w:t>нии 9</w:t>
      </w:r>
      <w:r w:rsidRPr="009D2AE8">
        <w:rPr>
          <w:sz w:val="22"/>
          <w:szCs w:val="22"/>
        </w:rPr>
        <w:t>0% степени стр</w:t>
      </w:r>
      <w:r w:rsidR="00C33CA7">
        <w:rPr>
          <w:sz w:val="22"/>
          <w:szCs w:val="22"/>
        </w:rPr>
        <w:t>оительной готовности Объекта – 95</w:t>
      </w:r>
      <w:r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043F1D" w:rsidRDefault="00C33CA7" w:rsidP="00A327F5">
      <w:pPr>
        <w:widowControl w:val="0"/>
        <w:suppressAutoHyphens/>
        <w:spacing w:after="0"/>
        <w:ind w:firstLine="317"/>
      </w:pPr>
      <w:r>
        <w:rPr>
          <w:sz w:val="22"/>
          <w:szCs w:val="22"/>
        </w:rPr>
        <w:t>- оставшиеся 5</w:t>
      </w:r>
      <w:r w:rsidR="00A327F5"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00E24" w:rsidRDefault="00000E24" w:rsidP="00000E24">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00E24" w:rsidRPr="007260A1" w:rsidRDefault="00000E24" w:rsidP="00043F1D">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C33CA7">
        <w:t>не позднее 4 квартала 2015 года</w:t>
      </w:r>
      <w:r w:rsidR="00C33CA7"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C33CA7">
        <w:t>1 квартала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w:t>
      </w:r>
      <w:r>
        <w:lastRenderedPageBreak/>
        <w:t>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5B0B09">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C33CA7">
        <w:rPr>
          <w:rFonts w:ascii="Times New Roman" w:hAnsi="Times New Roman" w:cs="Times New Roman"/>
          <w:sz w:val="24"/>
          <w:szCs w:val="24"/>
        </w:rPr>
        <w:t>03</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C33CA7">
        <w:rPr>
          <w:rFonts w:ascii="Times New Roman" w:hAnsi="Times New Roman" w:cs="Times New Roman"/>
          <w:sz w:val="24"/>
          <w:szCs w:val="24"/>
        </w:rPr>
        <w:t>.04</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6966B3" w:rsidRPr="007260A1" w:rsidTr="006966B3">
        <w:trPr>
          <w:trHeight w:val="239"/>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bl>
    <w:p w:rsidR="0047552C" w:rsidRDefault="0047552C" w:rsidP="00043F1D">
      <w:pPr>
        <w:spacing w:after="120"/>
        <w:ind w:firstLine="720"/>
        <w:rPr>
          <w:sz w:val="23"/>
          <w:szCs w:val="23"/>
        </w:rPr>
      </w:pPr>
    </w:p>
    <w:p w:rsidR="0047552C" w:rsidRDefault="0047552C" w:rsidP="00043F1D">
      <w:pPr>
        <w:spacing w:after="120"/>
        <w:ind w:firstLine="720"/>
        <w:rPr>
          <w:sz w:val="23"/>
          <w:szCs w:val="23"/>
        </w:rPr>
      </w:pPr>
    </w:p>
    <w:p w:rsidR="00043F1D" w:rsidRPr="009525E5" w:rsidRDefault="00043F1D" w:rsidP="00043F1D">
      <w:pPr>
        <w:spacing w:after="120"/>
        <w:ind w:firstLine="720"/>
        <w:rPr>
          <w:sz w:val="23"/>
          <w:szCs w:val="23"/>
        </w:rPr>
      </w:pPr>
      <w:r w:rsidRPr="009525E5">
        <w:rPr>
          <w:sz w:val="23"/>
          <w:szCs w:val="23"/>
        </w:rPr>
        <w:t>Исполнение – капитальное.</w:t>
      </w:r>
    </w:p>
    <w:p w:rsidR="00043F1D" w:rsidRPr="009525E5" w:rsidRDefault="004E5FC9" w:rsidP="00043F1D">
      <w:pPr>
        <w:snapToGrid w:val="0"/>
        <w:spacing w:after="0"/>
        <w:ind w:firstLine="709"/>
        <w:rPr>
          <w:color w:val="000000"/>
          <w:sz w:val="23"/>
          <w:szCs w:val="23"/>
        </w:rPr>
      </w:pPr>
      <w:r w:rsidRPr="009525E5">
        <w:rPr>
          <w:color w:val="000000"/>
          <w:sz w:val="23"/>
          <w:szCs w:val="23"/>
        </w:rPr>
        <w:t>Квартиры</w:t>
      </w:r>
      <w:r w:rsidR="00043F1D" w:rsidRPr="009525E5">
        <w:rPr>
          <w:color w:val="000000"/>
          <w:sz w:val="23"/>
          <w:szCs w:val="23"/>
        </w:rPr>
        <w:t xml:space="preserve"> оборудованы:</w:t>
      </w:r>
    </w:p>
    <w:p w:rsidR="00043F1D" w:rsidRPr="009525E5" w:rsidRDefault="00043F1D" w:rsidP="00043F1D">
      <w:pPr>
        <w:pStyle w:val="afa"/>
        <w:numPr>
          <w:ilvl w:val="0"/>
          <w:numId w:val="16"/>
        </w:numPr>
        <w:snapToGrid w:val="0"/>
        <w:ind w:left="0" w:firstLine="709"/>
        <w:rPr>
          <w:color w:val="000000"/>
          <w:sz w:val="23"/>
          <w:szCs w:val="23"/>
        </w:rPr>
      </w:pPr>
      <w:proofErr w:type="gramStart"/>
      <w:r w:rsidRPr="009525E5">
        <w:rPr>
          <w:color w:val="000000"/>
          <w:sz w:val="23"/>
          <w:szCs w:val="23"/>
        </w:rPr>
        <w:t>входной</w:t>
      </w:r>
      <w:proofErr w:type="gramEnd"/>
      <w:r w:rsidRPr="009525E5">
        <w:rPr>
          <w:color w:val="000000"/>
          <w:sz w:val="23"/>
          <w:szCs w:val="23"/>
        </w:rPr>
        <w:t xml:space="preserve"> и межкомнатными дверями,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наружными оконными конструкциями,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электрической разводкой,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электрическими розетками и выключателями,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электросчётчиком, </w:t>
      </w:r>
    </w:p>
    <w:p w:rsidR="00043F1D" w:rsidRPr="009525E5" w:rsidRDefault="00043F1D" w:rsidP="00043F1D">
      <w:pPr>
        <w:pStyle w:val="afa"/>
        <w:numPr>
          <w:ilvl w:val="0"/>
          <w:numId w:val="16"/>
        </w:numPr>
        <w:ind w:left="0" w:firstLine="709"/>
        <w:rPr>
          <w:color w:val="000000"/>
          <w:sz w:val="23"/>
          <w:szCs w:val="23"/>
        </w:rPr>
      </w:pPr>
      <w:r w:rsidRPr="009525E5">
        <w:rPr>
          <w:color w:val="000000"/>
          <w:sz w:val="23"/>
          <w:szCs w:val="23"/>
        </w:rPr>
        <w:t>электрической или газовой плитой,</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приборами учета горячей и холодной воды,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отопительной системой,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сантехническими стояками,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вентиляцией,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чистовой отделкой стен и потолков,</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настил полов</w:t>
      </w:r>
      <w:r w:rsidRPr="009525E5">
        <w:rPr>
          <w:sz w:val="23"/>
          <w:szCs w:val="23"/>
        </w:rPr>
        <w:t xml:space="preserve"> (</w:t>
      </w:r>
      <w:r w:rsidRPr="009525E5">
        <w:rPr>
          <w:color w:val="000000"/>
          <w:sz w:val="23"/>
          <w:szCs w:val="23"/>
        </w:rPr>
        <w:t xml:space="preserve">всех видов), </w:t>
      </w:r>
    </w:p>
    <w:p w:rsidR="00043F1D" w:rsidRPr="009525E5" w:rsidRDefault="00043F1D" w:rsidP="007B39F0">
      <w:pPr>
        <w:pStyle w:val="afa"/>
        <w:numPr>
          <w:ilvl w:val="0"/>
          <w:numId w:val="16"/>
        </w:numPr>
        <w:snapToGrid w:val="0"/>
        <w:ind w:left="0" w:firstLine="709"/>
        <w:rPr>
          <w:color w:val="000000"/>
          <w:sz w:val="23"/>
          <w:szCs w:val="23"/>
        </w:rPr>
      </w:pPr>
      <w:r w:rsidRPr="009525E5">
        <w:rPr>
          <w:color w:val="000000"/>
          <w:sz w:val="23"/>
          <w:szCs w:val="23"/>
        </w:rPr>
        <w:t>сантехническим оборудованием (унитаз, ванна, раковина со смесителями, мойка).</w:t>
      </w:r>
    </w:p>
    <w:p w:rsidR="00043F1D" w:rsidRPr="009525E5" w:rsidRDefault="00043F1D" w:rsidP="00043F1D">
      <w:pPr>
        <w:ind w:firstLine="720"/>
        <w:rPr>
          <w:sz w:val="23"/>
          <w:szCs w:val="23"/>
        </w:rPr>
      </w:pPr>
      <w:r w:rsidRPr="009525E5">
        <w:rPr>
          <w:sz w:val="23"/>
          <w:szCs w:val="23"/>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9525E5">
        <w:rPr>
          <w:sz w:val="23"/>
          <w:szCs w:val="23"/>
        </w:rPr>
        <w:t>согласно</w:t>
      </w:r>
      <w:proofErr w:type="gramEnd"/>
      <w:r w:rsidRPr="009525E5">
        <w:rPr>
          <w:sz w:val="23"/>
          <w:szCs w:val="23"/>
        </w:rPr>
        <w:t xml:space="preserve"> гарантийного срока завода-изготовителя.</w:t>
      </w:r>
    </w:p>
    <w:p w:rsidR="00043F1D" w:rsidRPr="009525E5" w:rsidRDefault="00043F1D" w:rsidP="00043F1D">
      <w:pPr>
        <w:ind w:right="-174"/>
        <w:rPr>
          <w:sz w:val="23"/>
          <w:szCs w:val="23"/>
        </w:rPr>
      </w:pPr>
    </w:p>
    <w:p w:rsidR="00043F1D" w:rsidRPr="009525E5" w:rsidRDefault="00043F1D" w:rsidP="00043F1D">
      <w:pPr>
        <w:ind w:right="-174"/>
        <w:rPr>
          <w:sz w:val="23"/>
          <w:szCs w:val="23"/>
          <w:shd w:val="clear" w:color="auto" w:fill="FFFFFF"/>
        </w:rPr>
      </w:pPr>
      <w:r w:rsidRPr="009525E5">
        <w:rPr>
          <w:b/>
          <w:sz w:val="23"/>
          <w:szCs w:val="23"/>
          <w:shd w:val="clear" w:color="auto" w:fill="FFFFFF"/>
        </w:rPr>
        <w:t>Муниципальный заказчик</w:t>
      </w:r>
      <w:r w:rsidRPr="009525E5">
        <w:rPr>
          <w:sz w:val="23"/>
          <w:szCs w:val="23"/>
          <w:shd w:val="clear" w:color="auto" w:fill="FFFFFF"/>
        </w:rPr>
        <w:t>: 628260, Тюменская обл., Ханты-Мансийский ав</w:t>
      </w:r>
      <w:r w:rsidR="004E5FC9" w:rsidRPr="009525E5">
        <w:rPr>
          <w:sz w:val="23"/>
          <w:szCs w:val="23"/>
          <w:shd w:val="clear" w:color="auto" w:fill="FFFFFF"/>
        </w:rPr>
        <w:t xml:space="preserve">тономный округ-Югра, г. </w:t>
      </w:r>
      <w:proofErr w:type="spellStart"/>
      <w:r w:rsidR="004E5FC9" w:rsidRPr="009525E5">
        <w:rPr>
          <w:sz w:val="23"/>
          <w:szCs w:val="23"/>
          <w:shd w:val="clear" w:color="auto" w:fill="FFFFFF"/>
        </w:rPr>
        <w:t>Югорск</w:t>
      </w:r>
      <w:proofErr w:type="gramStart"/>
      <w:r w:rsidR="004E5FC9" w:rsidRPr="009525E5">
        <w:rPr>
          <w:sz w:val="23"/>
          <w:szCs w:val="23"/>
          <w:shd w:val="clear" w:color="auto" w:fill="FFFFFF"/>
        </w:rPr>
        <w:t>,</w:t>
      </w:r>
      <w:r w:rsidRPr="009525E5">
        <w:rPr>
          <w:sz w:val="23"/>
          <w:szCs w:val="23"/>
          <w:shd w:val="clear" w:color="auto" w:fill="FFFFFF"/>
        </w:rPr>
        <w:t>у</w:t>
      </w:r>
      <w:proofErr w:type="gramEnd"/>
      <w:r w:rsidRPr="009525E5">
        <w:rPr>
          <w:sz w:val="23"/>
          <w:szCs w:val="23"/>
          <w:shd w:val="clear" w:color="auto" w:fill="FFFFFF"/>
        </w:rPr>
        <w:t>л</w:t>
      </w:r>
      <w:proofErr w:type="spellEnd"/>
      <w:r w:rsidRPr="009525E5">
        <w:rPr>
          <w:sz w:val="23"/>
          <w:szCs w:val="23"/>
          <w:shd w:val="clear" w:color="auto" w:fill="FFFFFF"/>
        </w:rPr>
        <w:t xml:space="preserve">. 40 лет Победы, 11, (34675) 5-00-14, факс (34675) 5-00-10  </w:t>
      </w:r>
    </w:p>
    <w:p w:rsidR="00043F1D" w:rsidRPr="009525E5" w:rsidRDefault="00043F1D" w:rsidP="00043F1D">
      <w:pPr>
        <w:ind w:right="-174"/>
        <w:rPr>
          <w:sz w:val="23"/>
          <w:szCs w:val="23"/>
          <w:shd w:val="clear" w:color="auto" w:fill="FFFFFF"/>
        </w:rPr>
      </w:pPr>
      <w:r w:rsidRPr="009525E5">
        <w:rPr>
          <w:sz w:val="23"/>
          <w:szCs w:val="23"/>
          <w:shd w:val="clear" w:color="auto" w:fill="FFFFFF"/>
        </w:rPr>
        <w:t>Департамент муниципальной собственности и градостроительства администрации города Югорска</w:t>
      </w:r>
    </w:p>
    <w:p w:rsidR="00043F1D" w:rsidRPr="00980484" w:rsidRDefault="00043F1D" w:rsidP="00043F1D">
      <w:pPr>
        <w:ind w:right="-174"/>
        <w:rPr>
          <w:shd w:val="clear" w:color="auto" w:fill="FFFFFF"/>
        </w:rPr>
      </w:pP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t>__________________подпись</w:t>
      </w:r>
    </w:p>
    <w:p w:rsidR="00043F1D" w:rsidRPr="00980484" w:rsidRDefault="00043F1D" w:rsidP="00043F1D">
      <w:pPr>
        <w:ind w:right="-174"/>
        <w:rPr>
          <w:b/>
          <w:shd w:val="clear" w:color="auto" w:fill="FFFFFF"/>
        </w:rPr>
      </w:pPr>
      <w:r w:rsidRPr="00980484">
        <w:rPr>
          <w:b/>
          <w:shd w:val="clear" w:color="auto" w:fill="FFFFFF"/>
        </w:rPr>
        <w:t xml:space="preserve">Застройщик: </w:t>
      </w:r>
    </w:p>
    <w:p w:rsidR="00043F1D" w:rsidRPr="00980484" w:rsidRDefault="00043F1D" w:rsidP="00043F1D">
      <w:pPr>
        <w:ind w:right="-174"/>
        <w:rPr>
          <w:shd w:val="clear" w:color="auto" w:fill="FFFFFF"/>
        </w:rPr>
      </w:pPr>
      <w:r w:rsidRPr="00980484">
        <w:rPr>
          <w:shd w:val="clear" w:color="auto" w:fill="FFFFFF"/>
        </w:rPr>
        <w:t>__________________________________</w:t>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00293C1B" w:rsidRPr="00980484">
        <w:rPr>
          <w:shd w:val="clear" w:color="auto" w:fill="FFFFFF"/>
        </w:rPr>
        <w:t>___</w:t>
      </w:r>
      <w:r w:rsidRPr="00980484">
        <w:rPr>
          <w:shd w:val="clear" w:color="auto" w:fill="FFFFFF"/>
        </w:rPr>
        <w:t>_______________ подпись</w:t>
      </w:r>
    </w:p>
    <w:p w:rsidR="00980484" w:rsidRDefault="00980484" w:rsidP="00B83258">
      <w:pPr>
        <w:snapToGrid w:val="0"/>
        <w:rPr>
          <w:b/>
        </w:rPr>
      </w:pPr>
    </w:p>
    <w:p w:rsidR="00B83258" w:rsidRPr="00980484" w:rsidRDefault="00B83258" w:rsidP="00B83258">
      <w:pPr>
        <w:snapToGrid w:val="0"/>
        <w:rPr>
          <w:b/>
        </w:rPr>
      </w:pPr>
      <w:r w:rsidRPr="00980484">
        <w:rPr>
          <w:b/>
        </w:rPr>
        <w:t xml:space="preserve">Первый заместитель главы администрации города – </w:t>
      </w:r>
    </w:p>
    <w:p w:rsidR="00B83258" w:rsidRPr="00980484" w:rsidRDefault="00B83258" w:rsidP="00B83258">
      <w:pPr>
        <w:snapToGrid w:val="0"/>
        <w:rPr>
          <w:b/>
        </w:rPr>
      </w:pPr>
      <w:r w:rsidRPr="00980484">
        <w:rPr>
          <w:b/>
        </w:rPr>
        <w:t xml:space="preserve">директор Департамента </w:t>
      </w:r>
      <w:r w:rsidRPr="00980484">
        <w:rPr>
          <w:b/>
        </w:rPr>
        <w:tab/>
      </w:r>
      <w:r w:rsidRPr="00980484">
        <w:rPr>
          <w:b/>
        </w:rPr>
        <w:tab/>
      </w:r>
      <w:r w:rsidRPr="00980484">
        <w:rPr>
          <w:b/>
        </w:rPr>
        <w:tab/>
      </w:r>
      <w:r w:rsidRPr="00980484">
        <w:rPr>
          <w:b/>
        </w:rPr>
        <w:tab/>
      </w:r>
      <w:r w:rsidRPr="00980484">
        <w:rPr>
          <w:b/>
        </w:rPr>
        <w:tab/>
      </w:r>
      <w:r w:rsidRPr="00980484">
        <w:rPr>
          <w:b/>
        </w:rPr>
        <w:tab/>
      </w:r>
      <w:r w:rsidRPr="00980484">
        <w:rPr>
          <w:b/>
        </w:rPr>
        <w:tab/>
        <w:t xml:space="preserve">                             С.Д. Голин</w:t>
      </w:r>
    </w:p>
    <w:p w:rsidR="0027736B" w:rsidRPr="00980484" w:rsidRDefault="0027736B" w:rsidP="00B83258">
      <w:pPr>
        <w:spacing w:after="200"/>
        <w:jc w:val="left"/>
        <w:rPr>
          <w:b/>
        </w:rPr>
      </w:pPr>
    </w:p>
    <w:p w:rsidR="00B83258" w:rsidRPr="00980484" w:rsidRDefault="00B83258" w:rsidP="00B83258">
      <w:pPr>
        <w:spacing w:after="200"/>
        <w:jc w:val="left"/>
        <w:rPr>
          <w:b/>
        </w:rPr>
      </w:pPr>
      <w:r w:rsidRPr="00980484">
        <w:rPr>
          <w:b/>
        </w:rPr>
        <w:t>Работник контрактной службы</w:t>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036E86" w:rsidRPr="00980484">
        <w:rPr>
          <w:b/>
        </w:rPr>
        <w:t xml:space="preserve">          М.Л. </w:t>
      </w:r>
      <w:proofErr w:type="spellStart"/>
      <w:r w:rsidR="00036E86" w:rsidRPr="00980484">
        <w:rPr>
          <w:b/>
        </w:rPr>
        <w:t>Прошкина</w:t>
      </w:r>
      <w:proofErr w:type="spellEnd"/>
    </w:p>
    <w:p w:rsidR="00043F1D" w:rsidRDefault="00B83258" w:rsidP="008616E5">
      <w:pPr>
        <w:spacing w:after="200"/>
        <w:jc w:val="left"/>
        <w:rPr>
          <w:b/>
        </w:rPr>
      </w:pPr>
      <w:r w:rsidRPr="00980484">
        <w:rPr>
          <w:b/>
        </w:rPr>
        <w:t xml:space="preserve">Юридический отдел </w:t>
      </w:r>
      <w:proofErr w:type="spellStart"/>
      <w:r w:rsidRPr="00980484">
        <w:rPr>
          <w:b/>
        </w:rPr>
        <w:t>ДМСиГ</w:t>
      </w:r>
      <w:proofErr w:type="spellEnd"/>
      <w:r w:rsidRPr="00980484">
        <w:rPr>
          <w:b/>
        </w:rPr>
        <w:t xml:space="preserve">                                                                         </w:t>
      </w:r>
      <w:r w:rsidR="00980484">
        <w:rPr>
          <w:b/>
        </w:rPr>
        <w:t xml:space="preserve">       </w:t>
      </w:r>
      <w:r w:rsidRPr="00980484">
        <w:rPr>
          <w:b/>
        </w:rPr>
        <w:t xml:space="preserve">        </w:t>
      </w:r>
      <w:r w:rsidR="00C33CA7">
        <w:rPr>
          <w:b/>
        </w:rPr>
        <w:t xml:space="preserve">Н.В. </w:t>
      </w:r>
      <w:proofErr w:type="spellStart"/>
      <w:r w:rsidR="00C33CA7">
        <w:rPr>
          <w:b/>
        </w:rPr>
        <w:t>Михай</w:t>
      </w:r>
      <w:proofErr w:type="spellEnd"/>
    </w:p>
    <w:p w:rsidR="00EB36EF" w:rsidRDefault="00EB36EF" w:rsidP="008616E5">
      <w:pPr>
        <w:spacing w:after="200"/>
        <w:jc w:val="left"/>
        <w:rPr>
          <w:b/>
        </w:rPr>
      </w:pPr>
    </w:p>
    <w:p w:rsidR="00EB36EF" w:rsidRPr="00980484" w:rsidRDefault="00EB36EF" w:rsidP="008616E5">
      <w:pPr>
        <w:spacing w:after="200"/>
        <w:jc w:val="left"/>
        <w:rPr>
          <w:b/>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w:t>
      </w:r>
      <w:r w:rsidR="004F53C5">
        <w:t>3</w:t>
      </w:r>
      <w:r w:rsidR="008A427B">
        <w:t> </w:t>
      </w:r>
      <w:r w:rsidR="004F53C5">
        <w:t>300</w:t>
      </w:r>
      <w:r>
        <w:t xml:space="preserve"> руб</w:t>
      </w:r>
      <w:r w:rsidR="008A427B">
        <w:t>.</w:t>
      </w:r>
      <w:r>
        <w:t xml:space="preserve"> – установлена </w:t>
      </w:r>
      <w:r w:rsidRPr="00227039">
        <w:t xml:space="preserve">на </w:t>
      </w:r>
      <w:r w:rsidR="004F53C5">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rsidR="00FF4E59">
        <w:t>22</w:t>
      </w:r>
      <w:r>
        <w:t>.0</w:t>
      </w:r>
      <w:r w:rsidR="00FF4E59">
        <w:t>9.2015 № 103</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от 3</w:t>
      </w:r>
      <w:r w:rsidR="00FF4E59">
        <w:t>1</w:t>
      </w:r>
      <w:r>
        <w:t>.0</w:t>
      </w:r>
      <w:r w:rsidR="00FF4E59">
        <w:t>8.2015 и от 30.09.2015</w:t>
      </w:r>
      <w:r w:rsidR="008A427B">
        <w:t>)</w:t>
      </w:r>
      <w:r>
        <w:t xml:space="preserve"> на 01 </w:t>
      </w:r>
      <w:r w:rsidR="00FF4E59">
        <w:t>октября</w:t>
      </w:r>
      <w:r>
        <w:t xml:space="preserve"> 2015 года</w:t>
      </w:r>
      <w:r w:rsidR="008A427B">
        <w:t xml:space="preserve"> средняя цена 1 кв. м. составляет: 56</w:t>
      </w:r>
      <w:r w:rsidR="00FF4E59">
        <w:t> 532,50</w:t>
      </w:r>
      <w:r w:rsidR="008A427B">
        <w:t xml:space="preserve"> руб.;</w:t>
      </w:r>
      <w:proofErr w:type="gramEnd"/>
    </w:p>
    <w:p w:rsidR="008A427B" w:rsidRDefault="00FF4E59" w:rsidP="00886142">
      <w:pPr>
        <w:ind w:firstLine="540"/>
      </w:pPr>
      <w:r>
        <w:t xml:space="preserve">3. Цена 1 </w:t>
      </w:r>
      <w:proofErr w:type="spellStart"/>
      <w:r>
        <w:t>кв.м</w:t>
      </w:r>
      <w:proofErr w:type="spellEnd"/>
      <w:r>
        <w:t>. 52 916</w:t>
      </w:r>
      <w:r w:rsidR="008A427B">
        <w:t xml:space="preserve"> руб. – ранее заключенные муниципальные контракты на приобретение </w:t>
      </w:r>
      <w:r w:rsidR="006C101C">
        <w:t>аналогичных жилых помещений (Муниципальн</w:t>
      </w:r>
      <w:r>
        <w:t>ые контракты № 0187300005815000466</w:t>
      </w:r>
      <w:r w:rsidR="006C101C">
        <w:t>-0057203-0</w:t>
      </w:r>
      <w:r>
        <w:t>1 от 17.10.2015, № 01873000058150004</w:t>
      </w:r>
      <w:r w:rsidR="006C101C">
        <w:t>73-0057203-0</w:t>
      </w:r>
      <w:r>
        <w:t>1 от 17.10</w:t>
      </w:r>
      <w:r w:rsidR="006C101C">
        <w:t>.2015).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w:t>
      </w:r>
      <w:r w:rsidR="00FF4E59">
        <w:t>3</w:t>
      </w:r>
      <w:r>
        <w:t> </w:t>
      </w:r>
      <w:r w:rsidR="00FF4E59">
        <w:t>300,00+56 532</w:t>
      </w:r>
      <w:r>
        <w:t>,00+5</w:t>
      </w:r>
      <w:r w:rsidR="00FF4E59">
        <w:t>2 916</w:t>
      </w:r>
      <w:r>
        <w:t>,00)/3 = 5</w:t>
      </w:r>
      <w:r w:rsidR="00FF4E59">
        <w:t>4</w:t>
      </w:r>
      <w:r>
        <w:t> 24</w:t>
      </w:r>
      <w:r w:rsidR="00FF4E59">
        <w:t>9,33</w:t>
      </w:r>
      <w:r>
        <w:t xml:space="preserve"> руб.</w:t>
      </w:r>
    </w:p>
    <w:p w:rsidR="00D6135A" w:rsidRDefault="00A407C4" w:rsidP="00886142">
      <w:pPr>
        <w:ind w:firstLine="540"/>
      </w:pPr>
      <w:r>
        <w:t>(5</w:t>
      </w:r>
      <w:r w:rsidR="00FF4E59">
        <w:t>4</w:t>
      </w:r>
      <w:r>
        <w:t> 24</w:t>
      </w:r>
      <w:r w:rsidR="00FF4E59">
        <w:t>9</w:t>
      </w:r>
      <w:r>
        <w:t>,</w:t>
      </w:r>
      <w:r w:rsidR="00FF4E59">
        <w:t>33</w:t>
      </w:r>
      <w:r>
        <w:t xml:space="preserve"> – 5</w:t>
      </w:r>
      <w:r w:rsidR="00FF4E59">
        <w:t>3 300</w:t>
      </w:r>
      <w:r>
        <w:t>,00)</w:t>
      </w:r>
      <w:r>
        <w:rPr>
          <w:vertAlign w:val="superscript"/>
        </w:rPr>
        <w:t>2</w:t>
      </w:r>
      <w:r>
        <w:t xml:space="preserve"> + (5</w:t>
      </w:r>
      <w:r w:rsidR="00FF4E59">
        <w:t xml:space="preserve">4 </w:t>
      </w:r>
      <w:r>
        <w:t>24</w:t>
      </w:r>
      <w:r w:rsidR="00FF4E59">
        <w:t>9,33</w:t>
      </w:r>
      <w:r>
        <w:t xml:space="preserve"> – 56</w:t>
      </w:r>
      <w:r w:rsidR="00FF4E59">
        <w:t> 532,50</w:t>
      </w:r>
      <w:r>
        <w:t>)</w:t>
      </w:r>
      <w:r>
        <w:rPr>
          <w:vertAlign w:val="superscript"/>
        </w:rPr>
        <w:t>2</w:t>
      </w:r>
      <w:r>
        <w:t xml:space="preserve"> +(5</w:t>
      </w:r>
      <w:r w:rsidR="00FF4E59">
        <w:t>4 249,33</w:t>
      </w:r>
      <w:r>
        <w:t xml:space="preserve"> – 5</w:t>
      </w:r>
      <w:r w:rsidR="00FF4E59">
        <w:t>2 916</w:t>
      </w:r>
      <w:r>
        <w:t>)</w:t>
      </w:r>
      <w:r>
        <w:rPr>
          <w:vertAlign w:val="superscript"/>
        </w:rPr>
        <w:t>2</w:t>
      </w:r>
      <w:r>
        <w:t xml:space="preserve"> = </w:t>
      </w:r>
      <w:r w:rsidR="00BB232C">
        <w:t>7 891 861,59</w:t>
      </w:r>
    </w:p>
    <w:p w:rsidR="00A407C4" w:rsidRDefault="00BB232C" w:rsidP="00886142">
      <w:pPr>
        <w:ind w:firstLine="540"/>
      </w:pPr>
      <w:r>
        <w:t>7 891 861,59</w:t>
      </w:r>
      <w:r w:rsidR="00A407C4">
        <w:t xml:space="preserve">/(3-1) = </w:t>
      </w:r>
      <w:r>
        <w:t>3 945 930,80</w:t>
      </w:r>
      <w:r w:rsidR="00672A65">
        <w:t xml:space="preserve">      </w:t>
      </w:r>
      <w:r>
        <w:t>7 945 930,80</w:t>
      </w:r>
      <w:r w:rsidR="00672A65">
        <w:t xml:space="preserve"> = </w:t>
      </w:r>
      <w:r>
        <w:t>1 986,44</w:t>
      </w:r>
    </w:p>
    <w:p w:rsidR="00672A65" w:rsidRDefault="00BB232C" w:rsidP="00886142">
      <w:pPr>
        <w:ind w:firstLine="540"/>
      </w:pPr>
      <w:r>
        <w:t>(1 986,44</w:t>
      </w:r>
      <w:r w:rsidR="00672A65">
        <w:t>/5</w:t>
      </w:r>
      <w:r>
        <w:t>4</w:t>
      </w:r>
      <w:r w:rsidR="00672A65">
        <w:t xml:space="preserve"> 24</w:t>
      </w:r>
      <w:r>
        <w:t>9,33)*100% = 3,66</w:t>
      </w:r>
      <w:r w:rsidR="00672A65">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BB232C">
        <w:t>4</w:t>
      </w:r>
      <w:r>
        <w:t> 24</w:t>
      </w:r>
      <w:r w:rsidR="00BB232C">
        <w:t>9,33</w:t>
      </w:r>
      <w:r>
        <w:t xml:space="preserve">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BB232C">
        <w:t>3</w:t>
      </w:r>
      <w:r w:rsidR="008616E5">
        <w:t> </w:t>
      </w:r>
      <w:r w:rsidR="00BB232C">
        <w:t>300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EB36EF">
        <w:rPr>
          <w:b/>
        </w:rPr>
        <w:t xml:space="preserve"> НМЦК = </w:t>
      </w:r>
      <w:r w:rsidR="00273A3C">
        <w:rPr>
          <w:b/>
        </w:rPr>
        <w:t>215</w:t>
      </w:r>
      <w:r w:rsidR="00894061">
        <w:rPr>
          <w:b/>
        </w:rPr>
        <w:t xml:space="preserve"> * 5</w:t>
      </w:r>
      <w:r w:rsidR="00BB232C">
        <w:rPr>
          <w:b/>
        </w:rPr>
        <w:t>3</w:t>
      </w:r>
      <w:r w:rsidR="00894061">
        <w:rPr>
          <w:b/>
        </w:rPr>
        <w:t> </w:t>
      </w:r>
      <w:r w:rsidR="00BB232C">
        <w:rPr>
          <w:b/>
        </w:rPr>
        <w:t>300</w:t>
      </w:r>
      <w:r w:rsidR="00894061">
        <w:rPr>
          <w:b/>
        </w:rPr>
        <w:t xml:space="preserve">,00 руб. = </w:t>
      </w:r>
      <w:r w:rsidR="00AD1010">
        <w:rPr>
          <w:b/>
        </w:rPr>
        <w:t>1</w:t>
      </w:r>
      <w:r w:rsidR="00EB36EF">
        <w:rPr>
          <w:b/>
        </w:rPr>
        <w:t>1</w:t>
      </w:r>
      <w:r w:rsidR="00273A3C">
        <w:rPr>
          <w:b/>
        </w:rPr>
        <w:t> 495 500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10"/>
          <w:footerReference w:type="default" r:id="rId11"/>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2A7" w:rsidRDefault="004712A7">
      <w:pPr>
        <w:spacing w:after="0"/>
      </w:pPr>
      <w:r>
        <w:separator/>
      </w:r>
    </w:p>
  </w:endnote>
  <w:endnote w:type="continuationSeparator" w:id="0">
    <w:p w:rsidR="004712A7" w:rsidRDefault="004712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A7" w:rsidRDefault="00C33CA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33CA7" w:rsidRDefault="00C33CA7"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A7" w:rsidRDefault="00C33CA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20386">
      <w:rPr>
        <w:rStyle w:val="a7"/>
        <w:noProof/>
      </w:rPr>
      <w:t>7</w:t>
    </w:r>
    <w:r>
      <w:rPr>
        <w:rStyle w:val="a7"/>
      </w:rPr>
      <w:fldChar w:fldCharType="end"/>
    </w:r>
  </w:p>
  <w:p w:rsidR="00C33CA7" w:rsidRDefault="00C33CA7"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2A7" w:rsidRDefault="004712A7">
      <w:pPr>
        <w:spacing w:after="0"/>
      </w:pPr>
      <w:r>
        <w:separator/>
      </w:r>
    </w:p>
  </w:footnote>
  <w:footnote w:type="continuationSeparator" w:id="0">
    <w:p w:rsidR="004712A7" w:rsidRDefault="004712A7">
      <w:pPr>
        <w:spacing w:after="0"/>
      </w:pPr>
      <w:r>
        <w:continuationSeparator/>
      </w:r>
    </w:p>
  </w:footnote>
  <w:footnote w:id="1">
    <w:p w:rsidR="00C33CA7" w:rsidRPr="00000E24" w:rsidRDefault="00C33CA7"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footnote>
  <w:footnote w:id="2">
    <w:p w:rsidR="00C33CA7" w:rsidRDefault="00C33CA7"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33CA7" w:rsidRDefault="00C33CA7" w:rsidP="00043F1D">
      <w:pPr>
        <w:rPr>
          <w:sz w:val="18"/>
        </w:rPr>
      </w:pPr>
      <w:bookmarkStart w:id="33" w:name="sub_1041"/>
      <w:r>
        <w:rPr>
          <w:sz w:val="18"/>
        </w:rPr>
        <w:t>а) 10 процентов цены контракта в случае, если цена контракта не превышает 3 млн. рублей;</w:t>
      </w:r>
    </w:p>
    <w:p w:rsidR="00C33CA7" w:rsidRDefault="00C33CA7"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C33CA7" w:rsidRDefault="00C33CA7"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C33CA7" w:rsidRPr="00C863C6" w:rsidRDefault="00C33CA7"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C33CA7" w:rsidRDefault="00C33CA7" w:rsidP="00043F1D">
      <w:pPr>
        <w:pStyle w:val="af4"/>
      </w:pPr>
    </w:p>
  </w:footnote>
  <w:footnote w:id="3">
    <w:p w:rsidR="00C33CA7" w:rsidRDefault="00C33CA7" w:rsidP="00043F1D">
      <w:pPr>
        <w:pStyle w:val="af4"/>
      </w:pPr>
      <w:r>
        <w:rPr>
          <w:rStyle w:val="af6"/>
        </w:rPr>
        <w:t xml:space="preserve"> </w:t>
      </w:r>
    </w:p>
    <w:p w:rsidR="00C33CA7" w:rsidRPr="00F75BC0" w:rsidRDefault="00C33CA7"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33CA7" w:rsidRPr="00F75BC0" w:rsidRDefault="00C33CA7"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C33CA7" w:rsidRPr="00F75BC0" w:rsidRDefault="00C33CA7"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C33CA7" w:rsidRPr="00F75BC0" w:rsidRDefault="00C33CA7"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C33CA7" w:rsidRPr="00F75BC0" w:rsidRDefault="00C33CA7"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C33CA7" w:rsidRDefault="00C33CA7" w:rsidP="00043F1D">
      <w:pPr>
        <w:pStyle w:val="af4"/>
        <w:spacing w:after="0"/>
      </w:pPr>
    </w:p>
    <w:p w:rsidR="00C33CA7" w:rsidRDefault="00C33CA7"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E24"/>
    <w:rsid w:val="00001FC5"/>
    <w:rsid w:val="00002A41"/>
    <w:rsid w:val="000048A8"/>
    <w:rsid w:val="00006797"/>
    <w:rsid w:val="0000752F"/>
    <w:rsid w:val="00007CA3"/>
    <w:rsid w:val="00012C09"/>
    <w:rsid w:val="00014680"/>
    <w:rsid w:val="0001689D"/>
    <w:rsid w:val="00016F53"/>
    <w:rsid w:val="00020386"/>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47759"/>
    <w:rsid w:val="00150FC3"/>
    <w:rsid w:val="00164CCD"/>
    <w:rsid w:val="00164F6A"/>
    <w:rsid w:val="00167A0F"/>
    <w:rsid w:val="00171BF2"/>
    <w:rsid w:val="00182F9C"/>
    <w:rsid w:val="001900DE"/>
    <w:rsid w:val="001929B8"/>
    <w:rsid w:val="00195DD1"/>
    <w:rsid w:val="00197A83"/>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190E"/>
    <w:rsid w:val="0020203C"/>
    <w:rsid w:val="00202E80"/>
    <w:rsid w:val="00207D10"/>
    <w:rsid w:val="002113DA"/>
    <w:rsid w:val="00211E90"/>
    <w:rsid w:val="002122AF"/>
    <w:rsid w:val="002255B3"/>
    <w:rsid w:val="002256F2"/>
    <w:rsid w:val="002259C6"/>
    <w:rsid w:val="0023332A"/>
    <w:rsid w:val="002424FA"/>
    <w:rsid w:val="002432FF"/>
    <w:rsid w:val="0024591D"/>
    <w:rsid w:val="00247A69"/>
    <w:rsid w:val="00254754"/>
    <w:rsid w:val="00261C32"/>
    <w:rsid w:val="002658FF"/>
    <w:rsid w:val="00273A3C"/>
    <w:rsid w:val="00275831"/>
    <w:rsid w:val="0027736B"/>
    <w:rsid w:val="002818F9"/>
    <w:rsid w:val="002838CB"/>
    <w:rsid w:val="0028781F"/>
    <w:rsid w:val="00292D67"/>
    <w:rsid w:val="00293C1B"/>
    <w:rsid w:val="002A3D75"/>
    <w:rsid w:val="002A6A8C"/>
    <w:rsid w:val="002B4A6C"/>
    <w:rsid w:val="002C630D"/>
    <w:rsid w:val="002D07BC"/>
    <w:rsid w:val="002D0A98"/>
    <w:rsid w:val="002D62DE"/>
    <w:rsid w:val="002D7528"/>
    <w:rsid w:val="002E0A8A"/>
    <w:rsid w:val="002E5BF6"/>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453E0"/>
    <w:rsid w:val="003518E3"/>
    <w:rsid w:val="00352669"/>
    <w:rsid w:val="003526F9"/>
    <w:rsid w:val="00362ED9"/>
    <w:rsid w:val="0037404E"/>
    <w:rsid w:val="003775A7"/>
    <w:rsid w:val="00381727"/>
    <w:rsid w:val="003919EA"/>
    <w:rsid w:val="003958B1"/>
    <w:rsid w:val="00397740"/>
    <w:rsid w:val="003A31F5"/>
    <w:rsid w:val="003A3922"/>
    <w:rsid w:val="003A4238"/>
    <w:rsid w:val="003C6CA7"/>
    <w:rsid w:val="003C70FE"/>
    <w:rsid w:val="003E0E26"/>
    <w:rsid w:val="003F7404"/>
    <w:rsid w:val="00400FD8"/>
    <w:rsid w:val="004073E7"/>
    <w:rsid w:val="004078A2"/>
    <w:rsid w:val="00424BE4"/>
    <w:rsid w:val="00432AEB"/>
    <w:rsid w:val="00436B97"/>
    <w:rsid w:val="00450031"/>
    <w:rsid w:val="00450832"/>
    <w:rsid w:val="00451778"/>
    <w:rsid w:val="00451947"/>
    <w:rsid w:val="004535F1"/>
    <w:rsid w:val="00454B16"/>
    <w:rsid w:val="004557D6"/>
    <w:rsid w:val="004641E0"/>
    <w:rsid w:val="004712A7"/>
    <w:rsid w:val="0047552C"/>
    <w:rsid w:val="004766CD"/>
    <w:rsid w:val="004916F0"/>
    <w:rsid w:val="00491720"/>
    <w:rsid w:val="004927C3"/>
    <w:rsid w:val="00494BBA"/>
    <w:rsid w:val="00497897"/>
    <w:rsid w:val="004A460F"/>
    <w:rsid w:val="004B1E17"/>
    <w:rsid w:val="004D448F"/>
    <w:rsid w:val="004D6819"/>
    <w:rsid w:val="004E5FC9"/>
    <w:rsid w:val="004E6FF1"/>
    <w:rsid w:val="004F53C5"/>
    <w:rsid w:val="00503EB4"/>
    <w:rsid w:val="00504D77"/>
    <w:rsid w:val="00505FFD"/>
    <w:rsid w:val="00515E20"/>
    <w:rsid w:val="00521648"/>
    <w:rsid w:val="00532211"/>
    <w:rsid w:val="00532556"/>
    <w:rsid w:val="00536E06"/>
    <w:rsid w:val="005401AE"/>
    <w:rsid w:val="00546C96"/>
    <w:rsid w:val="00550DA6"/>
    <w:rsid w:val="0056002D"/>
    <w:rsid w:val="00567220"/>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17C73"/>
    <w:rsid w:val="006257BB"/>
    <w:rsid w:val="006318BE"/>
    <w:rsid w:val="006434D2"/>
    <w:rsid w:val="00644E51"/>
    <w:rsid w:val="006451AB"/>
    <w:rsid w:val="00646ACF"/>
    <w:rsid w:val="006478E5"/>
    <w:rsid w:val="006608E8"/>
    <w:rsid w:val="0066452A"/>
    <w:rsid w:val="006646DD"/>
    <w:rsid w:val="00665F17"/>
    <w:rsid w:val="0066764C"/>
    <w:rsid w:val="006719C3"/>
    <w:rsid w:val="00672A65"/>
    <w:rsid w:val="00674988"/>
    <w:rsid w:val="00674C24"/>
    <w:rsid w:val="00675CF5"/>
    <w:rsid w:val="00684093"/>
    <w:rsid w:val="00684EC6"/>
    <w:rsid w:val="0069244B"/>
    <w:rsid w:val="00696388"/>
    <w:rsid w:val="006966B3"/>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695C"/>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6DB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0BFC"/>
    <w:rsid w:val="0091521F"/>
    <w:rsid w:val="009165E6"/>
    <w:rsid w:val="0091664D"/>
    <w:rsid w:val="00916981"/>
    <w:rsid w:val="00933F74"/>
    <w:rsid w:val="00934D2C"/>
    <w:rsid w:val="00937C1C"/>
    <w:rsid w:val="00941AA7"/>
    <w:rsid w:val="0094794E"/>
    <w:rsid w:val="009525E5"/>
    <w:rsid w:val="00957F62"/>
    <w:rsid w:val="0096022F"/>
    <w:rsid w:val="00960B83"/>
    <w:rsid w:val="00960BED"/>
    <w:rsid w:val="00962117"/>
    <w:rsid w:val="0096291A"/>
    <w:rsid w:val="00972499"/>
    <w:rsid w:val="00977AC7"/>
    <w:rsid w:val="00980484"/>
    <w:rsid w:val="00980852"/>
    <w:rsid w:val="00984C47"/>
    <w:rsid w:val="00984D89"/>
    <w:rsid w:val="00984E2B"/>
    <w:rsid w:val="00991CAF"/>
    <w:rsid w:val="009B004D"/>
    <w:rsid w:val="009B594F"/>
    <w:rsid w:val="009B6D34"/>
    <w:rsid w:val="009C06AD"/>
    <w:rsid w:val="009C223E"/>
    <w:rsid w:val="009C3C8F"/>
    <w:rsid w:val="009C705D"/>
    <w:rsid w:val="009D734C"/>
    <w:rsid w:val="009E16DD"/>
    <w:rsid w:val="009E1CCE"/>
    <w:rsid w:val="009E29F8"/>
    <w:rsid w:val="009E2CD8"/>
    <w:rsid w:val="009F0C6F"/>
    <w:rsid w:val="009F67D1"/>
    <w:rsid w:val="009F7C7E"/>
    <w:rsid w:val="00A02986"/>
    <w:rsid w:val="00A048ED"/>
    <w:rsid w:val="00A05A73"/>
    <w:rsid w:val="00A100B2"/>
    <w:rsid w:val="00A116D1"/>
    <w:rsid w:val="00A25C3E"/>
    <w:rsid w:val="00A327F5"/>
    <w:rsid w:val="00A32BFB"/>
    <w:rsid w:val="00A3320A"/>
    <w:rsid w:val="00A407C4"/>
    <w:rsid w:val="00A451F6"/>
    <w:rsid w:val="00A47D4A"/>
    <w:rsid w:val="00A50EE8"/>
    <w:rsid w:val="00A51212"/>
    <w:rsid w:val="00A631BF"/>
    <w:rsid w:val="00A657B0"/>
    <w:rsid w:val="00A70628"/>
    <w:rsid w:val="00A709D8"/>
    <w:rsid w:val="00A734DE"/>
    <w:rsid w:val="00A74A3B"/>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1010"/>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1CA8"/>
    <w:rsid w:val="00B3377C"/>
    <w:rsid w:val="00B35506"/>
    <w:rsid w:val="00B363F5"/>
    <w:rsid w:val="00B45A99"/>
    <w:rsid w:val="00B46076"/>
    <w:rsid w:val="00B46C7B"/>
    <w:rsid w:val="00B537B2"/>
    <w:rsid w:val="00B53C69"/>
    <w:rsid w:val="00B53C87"/>
    <w:rsid w:val="00B67855"/>
    <w:rsid w:val="00B74CB8"/>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2C"/>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3CA7"/>
    <w:rsid w:val="00C3799E"/>
    <w:rsid w:val="00C41CA1"/>
    <w:rsid w:val="00C44B67"/>
    <w:rsid w:val="00C46CCB"/>
    <w:rsid w:val="00C674F0"/>
    <w:rsid w:val="00C70081"/>
    <w:rsid w:val="00C71300"/>
    <w:rsid w:val="00C72FCB"/>
    <w:rsid w:val="00C74965"/>
    <w:rsid w:val="00C82D58"/>
    <w:rsid w:val="00C8364A"/>
    <w:rsid w:val="00C836B1"/>
    <w:rsid w:val="00C83BD6"/>
    <w:rsid w:val="00C85E49"/>
    <w:rsid w:val="00C90015"/>
    <w:rsid w:val="00C90511"/>
    <w:rsid w:val="00CA114A"/>
    <w:rsid w:val="00CB4FC1"/>
    <w:rsid w:val="00CB5968"/>
    <w:rsid w:val="00CC21C5"/>
    <w:rsid w:val="00CC42D4"/>
    <w:rsid w:val="00CC5192"/>
    <w:rsid w:val="00CD1C86"/>
    <w:rsid w:val="00CE185A"/>
    <w:rsid w:val="00CF46C4"/>
    <w:rsid w:val="00D151B9"/>
    <w:rsid w:val="00D2021A"/>
    <w:rsid w:val="00D20E0B"/>
    <w:rsid w:val="00D22B1E"/>
    <w:rsid w:val="00D231D0"/>
    <w:rsid w:val="00D2443F"/>
    <w:rsid w:val="00D269D7"/>
    <w:rsid w:val="00D26A2E"/>
    <w:rsid w:val="00D315EB"/>
    <w:rsid w:val="00D6135A"/>
    <w:rsid w:val="00D622AD"/>
    <w:rsid w:val="00D629B0"/>
    <w:rsid w:val="00D65FD5"/>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DF73FB"/>
    <w:rsid w:val="00E017D7"/>
    <w:rsid w:val="00E11824"/>
    <w:rsid w:val="00E143D6"/>
    <w:rsid w:val="00E144B8"/>
    <w:rsid w:val="00E17E53"/>
    <w:rsid w:val="00E20C4B"/>
    <w:rsid w:val="00E2510A"/>
    <w:rsid w:val="00E377FE"/>
    <w:rsid w:val="00E418C0"/>
    <w:rsid w:val="00E45B8A"/>
    <w:rsid w:val="00E46957"/>
    <w:rsid w:val="00E529C1"/>
    <w:rsid w:val="00E570C0"/>
    <w:rsid w:val="00E60056"/>
    <w:rsid w:val="00E65D8A"/>
    <w:rsid w:val="00E7131B"/>
    <w:rsid w:val="00E77141"/>
    <w:rsid w:val="00E84893"/>
    <w:rsid w:val="00E84D97"/>
    <w:rsid w:val="00E975A4"/>
    <w:rsid w:val="00E979E5"/>
    <w:rsid w:val="00EA517B"/>
    <w:rsid w:val="00EB2444"/>
    <w:rsid w:val="00EB36EF"/>
    <w:rsid w:val="00EC0888"/>
    <w:rsid w:val="00EC3DF6"/>
    <w:rsid w:val="00ED222B"/>
    <w:rsid w:val="00ED3116"/>
    <w:rsid w:val="00ED7C28"/>
    <w:rsid w:val="00ED7E64"/>
    <w:rsid w:val="00EE1DB3"/>
    <w:rsid w:val="00EF0802"/>
    <w:rsid w:val="00EF0815"/>
    <w:rsid w:val="00EF465D"/>
    <w:rsid w:val="00EF4A07"/>
    <w:rsid w:val="00EF556B"/>
    <w:rsid w:val="00EF61AB"/>
    <w:rsid w:val="00F14029"/>
    <w:rsid w:val="00F15867"/>
    <w:rsid w:val="00F1769E"/>
    <w:rsid w:val="00F227B0"/>
    <w:rsid w:val="00F24D68"/>
    <w:rsid w:val="00F30F5A"/>
    <w:rsid w:val="00F361AF"/>
    <w:rsid w:val="00F446FF"/>
    <w:rsid w:val="00F616E3"/>
    <w:rsid w:val="00F62E62"/>
    <w:rsid w:val="00F64075"/>
    <w:rsid w:val="00F7019A"/>
    <w:rsid w:val="00F777D2"/>
    <w:rsid w:val="00F835E6"/>
    <w:rsid w:val="00F86628"/>
    <w:rsid w:val="00F90CC5"/>
    <w:rsid w:val="00F9631D"/>
    <w:rsid w:val="00FA4E21"/>
    <w:rsid w:val="00FA7312"/>
    <w:rsid w:val="00FA73F1"/>
    <w:rsid w:val="00FB1152"/>
    <w:rsid w:val="00FB4EA8"/>
    <w:rsid w:val="00FB50FB"/>
    <w:rsid w:val="00FC2FFE"/>
    <w:rsid w:val="00FD316D"/>
    <w:rsid w:val="00FD6952"/>
    <w:rsid w:val="00FD7313"/>
    <w:rsid w:val="00FD7636"/>
    <w:rsid w:val="00FE156B"/>
    <w:rsid w:val="00FE1C1C"/>
    <w:rsid w:val="00FE7923"/>
    <w:rsid w:val="00FF4E59"/>
    <w:rsid w:val="00FF609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2038258.5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E4EC4-203B-4624-8C8E-54EADC8E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28</Pages>
  <Words>10405</Words>
  <Characters>59310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109</cp:revision>
  <cp:lastPrinted>2015-11-30T13:41:00Z</cp:lastPrinted>
  <dcterms:created xsi:type="dcterms:W3CDTF">2015-03-30T09:50:00Z</dcterms:created>
  <dcterms:modified xsi:type="dcterms:W3CDTF">2015-11-30T13:45:00Z</dcterms:modified>
</cp:coreProperties>
</file>