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62D60EEF"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(запасных частей для средств вычислительной техники)</w:t>
      </w:r>
    </w:p>
    <w:p w14:paraId="4907CF93" w14:textId="77777777"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 213862200236886220100100660010000244)</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60E44B49" w14:textId="0D2AA4D6" w:rsidR="0018211E"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7BE63CFF"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(запасны</w:t>
      </w:r>
      <w:r w:rsidR="000F533C" w:rsidRPr="00D22DC4">
        <w:rPr>
          <w:rFonts w:ascii="PT Astra Serif" w:hAnsi="PT Astra Serif"/>
          <w:bCs/>
          <w:color w:val="000099"/>
          <w:sz w:val="28"/>
          <w:szCs w:val="28"/>
        </w:rPr>
        <w:t>е</w:t>
      </w:r>
      <w:r w:rsidR="00607C5B" w:rsidRPr="00D22DC4">
        <w:rPr>
          <w:rFonts w:ascii="PT Astra Serif" w:hAnsi="PT Astra Serif"/>
          <w:bCs/>
          <w:color w:val="000099"/>
          <w:sz w:val="28"/>
          <w:szCs w:val="28"/>
        </w:rPr>
        <w:t xml:space="preserve"> част</w:t>
      </w:r>
      <w:r w:rsidR="000F533C" w:rsidRPr="00D22DC4">
        <w:rPr>
          <w:rFonts w:ascii="PT Astra Serif" w:hAnsi="PT Astra Serif"/>
          <w:bCs/>
          <w:color w:val="000099"/>
          <w:sz w:val="28"/>
          <w:szCs w:val="28"/>
        </w:rPr>
        <w:t>и</w:t>
      </w:r>
      <w:r w:rsidR="00607C5B" w:rsidRPr="00D22DC4">
        <w:rPr>
          <w:rFonts w:ascii="PT Astra Serif" w:hAnsi="PT Astra Serif"/>
          <w:bCs/>
          <w:color w:val="000099"/>
          <w:sz w:val="28"/>
          <w:szCs w:val="28"/>
        </w:rPr>
        <w:t xml:space="preserve"> для средств вычислительной техники)</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77777777" w:rsidR="007A4D1E" w:rsidRPr="00D22DC4" w:rsidRDefault="007A4D1E" w:rsidP="007A4D1E">
      <w:pPr>
        <w:pStyle w:val="13"/>
        <w:keepNext/>
        <w:spacing w:after="0" w:line="240" w:lineRule="auto"/>
        <w:ind w:left="709"/>
        <w:jc w:val="center"/>
        <w:rPr>
          <w:rFonts w:ascii="PT Astra Serif" w:hAnsi="PT Astra Serif"/>
          <w:sz w:val="28"/>
          <w:szCs w:val="28"/>
        </w:rPr>
      </w:pPr>
      <w:r w:rsidRPr="00D22DC4">
        <w:rPr>
          <w:rFonts w:ascii="PT Astra Serif" w:hAnsi="PT Astra Serif"/>
          <w:b/>
          <w:sz w:val="28"/>
          <w:szCs w:val="28"/>
        </w:rPr>
        <w:t>2. Цена Контракта и порядок расчётов</w:t>
      </w: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5B355B0E"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6969B9" w:rsidRPr="00D22DC4">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360E9148"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с даты подписания Заказчиком товарной накладной</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0748D4CA" w14:textId="6D133358" w:rsidR="000A48DB"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4130BE6D"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6969B9" w:rsidRPr="00D22DC4">
        <w:rPr>
          <w:rFonts w:ascii="PT Astra Serif" w:hAnsi="PT Astra Serif"/>
          <w:color w:val="000099"/>
          <w:sz w:val="28"/>
          <w:szCs w:val="28"/>
        </w:rPr>
        <w:t>0</w:t>
      </w:r>
      <w:r w:rsidR="00607C5B" w:rsidRPr="00D22DC4">
        <w:rPr>
          <w:rFonts w:ascii="PT Astra Serif" w:hAnsi="PT Astra Serif"/>
          <w:color w:val="000099"/>
          <w:sz w:val="28"/>
          <w:szCs w:val="28"/>
        </w:rPr>
        <w:t>1</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06</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3.5. Для проверки предоставленных Поставщиком результатов, </w:t>
      </w:r>
      <w:r w:rsidRPr="00D22DC4">
        <w:rPr>
          <w:rFonts w:ascii="PT Astra Serif" w:hAnsi="PT Astra Serif"/>
          <w:sz w:val="28"/>
          <w:szCs w:val="28"/>
        </w:rPr>
        <w:lastRenderedPageBreak/>
        <w:t>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730F6393"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5006CA9C" w14:textId="1E8D2FFD" w:rsidR="0018211E"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191753F"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w:t>
      </w:r>
      <w:r w:rsidRPr="00D22DC4">
        <w:rPr>
          <w:rFonts w:ascii="PT Astra Serif" w:hAnsi="PT Astra Serif"/>
          <w:sz w:val="28"/>
          <w:szCs w:val="28"/>
        </w:rPr>
        <w:lastRenderedPageBreak/>
        <w:t>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Pr="00D22DC4" w:rsidRDefault="00A4295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0" w:name="P1518"/>
      <w:bookmarkEnd w:id="0"/>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D22DC4" w:rsidRDefault="003E048D" w:rsidP="003E048D">
      <w:pPr>
        <w:pStyle w:val="afa"/>
        <w:spacing w:line="240" w:lineRule="auto"/>
        <w:ind w:firstLine="709"/>
        <w:jc w:val="both"/>
        <w:rPr>
          <w:rFonts w:ascii="PT Astra Serif" w:hAnsi="PT Astra Serif"/>
          <w:sz w:val="28"/>
          <w:szCs w:val="28"/>
        </w:rPr>
      </w:pPr>
      <w:bookmarkStart w:id="1" w:name="P1519"/>
      <w:bookmarkEnd w:id="1"/>
      <w:r w:rsidRPr="00D22DC4">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14:paraId="4F7D9F33" w14:textId="5D19E9C3"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4.3.5. провести экспертизу поставленного Товара для проверки его соответствия условиям Контракта в соответствии с Федеральным законом от </w:t>
      </w:r>
      <w:r w:rsidRPr="00D22DC4">
        <w:rPr>
          <w:rFonts w:ascii="PT Astra Serif" w:hAnsi="PT Astra Serif"/>
          <w:sz w:val="28"/>
          <w:szCs w:val="28"/>
        </w:rPr>
        <w:lastRenderedPageBreak/>
        <w:t>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1FF0DFB2"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63624BC4"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2" w:name="P1554"/>
      <w:bookmarkEnd w:id="2"/>
      <w:r w:rsidRPr="00D22DC4">
        <w:rPr>
          <w:rFonts w:ascii="PT Astra Serif" w:hAnsi="PT Astra Serif"/>
          <w:sz w:val="28"/>
          <w:szCs w:val="28"/>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 xml:space="preserve"> цены </w:t>
      </w:r>
      <w:r w:rsidRPr="00D22DC4">
        <w:rPr>
          <w:rFonts w:ascii="PT Astra Serif" w:hAnsi="PT Astra Serif"/>
          <w:sz w:val="28"/>
          <w:szCs w:val="28"/>
        </w:rPr>
        <w:lastRenderedPageBreak/>
        <w:t>Контракта/</w:t>
      </w:r>
      <w:r w:rsidRPr="00D22DC4">
        <w:rPr>
          <w:rFonts w:ascii="PT Astra Serif" w:hAnsi="PT Astra Serif" w:cs="Times New Roman"/>
          <w:sz w:val="28"/>
          <w:szCs w:val="28"/>
        </w:rPr>
        <w:t xml:space="preserve">начальной (максимальной) цены </w:t>
      </w:r>
      <w:r w:rsidRPr="00D22DC4">
        <w:rPr>
          <w:rFonts w:ascii="PT Astra Serif" w:hAnsi="PT Astra Serif"/>
          <w:sz w:val="28"/>
          <w:szCs w:val="28"/>
        </w:rPr>
        <w:t>контракта (договора)</w:t>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3" w:name="P1556"/>
      <w:bookmarkEnd w:id="3"/>
      <w:r w:rsidRPr="00D22DC4">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2469216A" w:rsidR="0018211E"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lastRenderedPageBreak/>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Pr="00D22DC4">
        <w:rPr>
          <w:rFonts w:ascii="PT Astra Serif" w:hAnsi="PT Astra Serif"/>
          <w:sz w:val="28"/>
          <w:szCs w:val="28"/>
        </w:rPr>
        <w:lastRenderedPageBreak/>
        <w:t>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w:t>
      </w:r>
      <w:r w:rsidRPr="00D22DC4">
        <w:rPr>
          <w:rFonts w:ascii="PT Astra Serif" w:hAnsi="PT Astra Serif"/>
          <w:sz w:val="28"/>
          <w:szCs w:val="28"/>
        </w:rPr>
        <w:lastRenderedPageBreak/>
        <w:t>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18AC8BC5" w14:textId="199FE12E" w:rsidR="000B19AA" w:rsidRPr="00D22DC4"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240929EF" w14:textId="7455B311"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591F73CB"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8.2. Обеспечение гарантийных обязательств устанавливается </w:t>
      </w:r>
      <w:r w:rsidRPr="00D22DC4">
        <w:rPr>
          <w:rFonts w:ascii="PT Astra Serif" w:hAnsi="PT Astra Serif"/>
          <w:color w:val="000099"/>
          <w:sz w:val="28"/>
          <w:szCs w:val="28"/>
        </w:rPr>
        <w:t xml:space="preserve">в размере </w:t>
      </w:r>
      <w:r w:rsidR="00AC3771">
        <w:rPr>
          <w:rFonts w:ascii="PT Astra Serif" w:hAnsi="PT Astra Serif"/>
          <w:color w:val="000099"/>
          <w:sz w:val="28"/>
          <w:szCs w:val="28"/>
        </w:rPr>
        <w:t>9</w:t>
      </w:r>
      <w:r w:rsidR="006969B9" w:rsidRPr="00D22DC4">
        <w:rPr>
          <w:rFonts w:ascii="PT Astra Serif" w:hAnsi="PT Astra Serif"/>
          <w:color w:val="000099"/>
          <w:sz w:val="28"/>
          <w:szCs w:val="28"/>
        </w:rPr>
        <w:t xml:space="preserve"> 7</w:t>
      </w:r>
      <w:r w:rsidR="00AC3771">
        <w:rPr>
          <w:rFonts w:ascii="PT Astra Serif" w:hAnsi="PT Astra Serif"/>
          <w:color w:val="000099"/>
          <w:sz w:val="28"/>
          <w:szCs w:val="28"/>
        </w:rPr>
        <w:t>0</w:t>
      </w:r>
      <w:r w:rsidR="000F533C" w:rsidRPr="00D22DC4">
        <w:rPr>
          <w:rFonts w:ascii="PT Astra Serif" w:hAnsi="PT Astra Serif"/>
          <w:color w:val="000099"/>
          <w:sz w:val="28"/>
          <w:szCs w:val="28"/>
        </w:rPr>
        <w:t>0</w:t>
      </w:r>
      <w:r w:rsidR="0018211E" w:rsidRPr="00D22DC4">
        <w:rPr>
          <w:rFonts w:ascii="PT Astra Serif" w:hAnsi="PT Astra Serif"/>
          <w:color w:val="000099"/>
          <w:sz w:val="28"/>
          <w:szCs w:val="28"/>
        </w:rPr>
        <w:t xml:space="preserve"> (</w:t>
      </w:r>
      <w:r w:rsidR="00341EC7">
        <w:rPr>
          <w:rFonts w:ascii="PT Astra Serif" w:hAnsi="PT Astra Serif"/>
          <w:color w:val="000099"/>
          <w:sz w:val="28"/>
          <w:szCs w:val="28"/>
        </w:rPr>
        <w:t>де</w:t>
      </w:r>
      <w:r w:rsidR="00AC3771">
        <w:rPr>
          <w:rFonts w:ascii="PT Astra Serif" w:hAnsi="PT Astra Serif"/>
          <w:color w:val="000099"/>
          <w:sz w:val="28"/>
          <w:szCs w:val="28"/>
        </w:rPr>
        <w:t>в</w:t>
      </w:r>
      <w:r w:rsidR="00341EC7">
        <w:rPr>
          <w:rFonts w:ascii="PT Astra Serif" w:hAnsi="PT Astra Serif"/>
          <w:color w:val="000099"/>
          <w:sz w:val="28"/>
          <w:szCs w:val="28"/>
        </w:rPr>
        <w:t>ять</w:t>
      </w:r>
      <w:r w:rsidR="0018211E" w:rsidRPr="00D22DC4">
        <w:rPr>
          <w:rFonts w:ascii="PT Astra Serif" w:hAnsi="PT Astra Serif"/>
          <w:color w:val="000099"/>
          <w:sz w:val="28"/>
          <w:szCs w:val="28"/>
        </w:rPr>
        <w:t xml:space="preserve"> тысяч </w:t>
      </w:r>
      <w:r w:rsidR="006969B9" w:rsidRPr="00D22DC4">
        <w:rPr>
          <w:rFonts w:ascii="PT Astra Serif" w:hAnsi="PT Astra Serif"/>
          <w:color w:val="000099"/>
          <w:sz w:val="28"/>
          <w:szCs w:val="28"/>
        </w:rPr>
        <w:t>семь</w:t>
      </w:r>
      <w:r w:rsidR="00AC3771">
        <w:rPr>
          <w:rFonts w:ascii="PT Astra Serif" w:hAnsi="PT Astra Serif"/>
          <w:color w:val="000099"/>
          <w:sz w:val="28"/>
          <w:szCs w:val="28"/>
        </w:rPr>
        <w:t>сот</w:t>
      </w:r>
      <w:r w:rsidR="0018211E" w:rsidRPr="00D22DC4">
        <w:rPr>
          <w:rFonts w:ascii="PT Astra Serif" w:hAnsi="PT Astra Serif"/>
          <w:color w:val="000099"/>
          <w:sz w:val="28"/>
          <w:szCs w:val="28"/>
        </w:rPr>
        <w:t>) рубл</w:t>
      </w:r>
      <w:r w:rsidR="006969B9" w:rsidRPr="00D22DC4">
        <w:rPr>
          <w:rFonts w:ascii="PT Astra Serif" w:hAnsi="PT Astra Serif"/>
          <w:color w:val="000099"/>
          <w:sz w:val="28"/>
          <w:szCs w:val="28"/>
        </w:rPr>
        <w:t>ей</w:t>
      </w:r>
      <w:r w:rsidR="0018211E" w:rsidRPr="00D22DC4">
        <w:rPr>
          <w:rFonts w:ascii="PT Astra Serif" w:hAnsi="PT Astra Serif"/>
          <w:color w:val="000099"/>
          <w:sz w:val="28"/>
          <w:szCs w:val="28"/>
        </w:rPr>
        <w:t xml:space="preserve"> </w:t>
      </w:r>
      <w:r w:rsidR="00341EC7">
        <w:rPr>
          <w:rFonts w:ascii="PT Astra Serif" w:hAnsi="PT Astra Serif"/>
          <w:color w:val="000099"/>
          <w:sz w:val="28"/>
          <w:szCs w:val="28"/>
        </w:rPr>
        <w:t>0</w:t>
      </w:r>
      <w:r w:rsidR="0018211E" w:rsidRPr="00D22DC4">
        <w:rPr>
          <w:rFonts w:ascii="PT Astra Serif" w:hAnsi="PT Astra Serif"/>
          <w:color w:val="000099"/>
          <w:sz w:val="28"/>
          <w:szCs w:val="28"/>
        </w:rPr>
        <w:t xml:space="preserve">0 копеек </w:t>
      </w:r>
      <w:r w:rsidR="0018211E" w:rsidRPr="00D22DC4">
        <w:rPr>
          <w:rFonts w:ascii="PT Astra Serif" w:hAnsi="PT Astra Serif"/>
          <w:color w:val="auto"/>
          <w:sz w:val="28"/>
          <w:szCs w:val="28"/>
        </w:rPr>
        <w:t xml:space="preserve">(10 процентов </w:t>
      </w:r>
      <w:r w:rsidR="0018211E" w:rsidRPr="00D22DC4">
        <w:rPr>
          <w:rFonts w:ascii="PT Astra Serif" w:hAnsi="PT Astra Serif"/>
          <w:sz w:val="28"/>
          <w:szCs w:val="28"/>
        </w:rPr>
        <w:t>от начальной (максимальной) цены контракта).</w:t>
      </w:r>
    </w:p>
    <w:p w14:paraId="1B8740A4" w14:textId="389AD380"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FDF1FB3"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6F1AF38B"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3BCDC07E"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228285C1"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D6BCD1C"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8.6. Участник закупки, с которым заключается Контракт по результатам </w:t>
      </w:r>
      <w:r w:rsidRPr="00D22DC4">
        <w:rPr>
          <w:rFonts w:ascii="PT Astra Serif" w:hAnsi="PT Astra Serif"/>
          <w:sz w:val="28"/>
          <w:szCs w:val="28"/>
        </w:rPr>
        <w:lastRenderedPageBreak/>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D22DC4" w:rsidRDefault="0093397D"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w:t>
      </w:r>
      <w:r w:rsidR="00DA1A86" w:rsidRPr="00D22DC4">
        <w:rPr>
          <w:rFonts w:ascii="PT Astra Serif" w:hAnsi="PT Astra Serif"/>
          <w:sz w:val="28"/>
          <w:szCs w:val="28"/>
        </w:rPr>
        <w:t>7</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06D7D004"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2DE23F7A"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63008AE3" w:rsidR="008748E5" w:rsidRPr="00D22DC4"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11.1. Все споры и разногласия, которые могут возникнуть из Контракта между </w:t>
      </w:r>
      <w:r w:rsidRPr="00D22DC4">
        <w:rPr>
          <w:rFonts w:ascii="PT Astra Serif" w:hAnsi="PT Astra Serif"/>
          <w:color w:val="auto"/>
          <w:sz w:val="28"/>
          <w:szCs w:val="28"/>
        </w:rPr>
        <w:lastRenderedPageBreak/>
        <w:t>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7DB51F1C" w:rsidR="00CD7B27" w:rsidRPr="00D22DC4"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8748E5" w:rsidRPr="00D22DC4">
        <w:rPr>
          <w:rFonts w:ascii="PT Astra Serif" w:hAnsi="PT Astra Serif"/>
          <w:b/>
          <w:sz w:val="28"/>
          <w:szCs w:val="28"/>
        </w:rPr>
        <w:t>2</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4EB8A4A7" w14:textId="55861770"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796FD7" w:rsidRPr="00D22DC4">
        <w:rPr>
          <w:rFonts w:ascii="PT Astra Serif" w:hAnsi="PT Astra Serif"/>
          <w:sz w:val="28"/>
          <w:szCs w:val="28"/>
        </w:rPr>
        <w:t>2</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6969B9" w:rsidRPr="00D22DC4">
        <w:rPr>
          <w:rFonts w:ascii="PT Astra Serif" w:hAnsi="PT Astra Serif"/>
          <w:color w:val="000099"/>
          <w:sz w:val="28"/>
          <w:szCs w:val="28"/>
        </w:rPr>
        <w:t>0</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06</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9C81FDE"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3A7BE5DD" w:rsidR="00CD7B27" w:rsidRPr="00D22DC4"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3</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607C921E" w14:textId="69179139"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796FD7" w:rsidRPr="00D22DC4">
        <w:rPr>
          <w:rFonts w:ascii="PT Astra Serif" w:hAnsi="PT Astra Serif" w:cs="Times New Roman"/>
          <w:sz w:val="28"/>
          <w:szCs w:val="28"/>
        </w:rPr>
        <w:t>3</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Передача прав и обязанностей по Контракту правопреемнику Поставщика </w:t>
      </w:r>
      <w:r w:rsidRPr="00D22DC4">
        <w:rPr>
          <w:rFonts w:ascii="PT Astra Serif" w:hAnsi="PT Astra Serif" w:cs="Times New Roman"/>
          <w:sz w:val="28"/>
          <w:szCs w:val="28"/>
        </w:rPr>
        <w:lastRenderedPageBreak/>
        <w:t>осуществляется путём заключения соответствующего дополнительного соглашения к Контракту.</w:t>
      </w:r>
    </w:p>
    <w:p w14:paraId="1F89DE0C" w14:textId="28E8B7F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4D1D386A" w:rsidR="00796FD7" w:rsidRPr="00D22DC4" w:rsidRDefault="00796FD7" w:rsidP="00796FD7">
      <w:pPr>
        <w:pStyle w:val="13"/>
        <w:spacing w:after="0" w:line="240" w:lineRule="auto"/>
        <w:ind w:firstLine="709"/>
        <w:jc w:val="center"/>
        <w:rPr>
          <w:rFonts w:ascii="PT Astra Serif" w:hAnsi="PT Astra Serif"/>
          <w:sz w:val="28"/>
          <w:szCs w:val="28"/>
        </w:rPr>
      </w:pPr>
      <w:r w:rsidRPr="00D22DC4">
        <w:rPr>
          <w:rFonts w:ascii="PT Astra Serif" w:hAnsi="PT Astra Serif"/>
          <w:b/>
          <w:sz w:val="28"/>
          <w:szCs w:val="28"/>
        </w:rPr>
        <w:t>14. Перечень приложений</w:t>
      </w:r>
    </w:p>
    <w:p w14:paraId="4B0B9120" w14:textId="74BCF04A"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14.1.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67B149C7" w:rsidR="00AB418B" w:rsidRPr="00D22DC4"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5</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7D2A2A92"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 xml:space="preserve">628260, Тюменская область, Ханты-Мансийский автономный округ, </w:t>
            </w:r>
          </w:p>
          <w:p w14:paraId="55B02F4E"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г. Югорск, ул. 40 лет Победы, д.11</w:t>
            </w:r>
          </w:p>
          <w:p w14:paraId="63139E5F"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ИНН/КПП 8622002368/862201001</w:t>
            </w:r>
          </w:p>
          <w:p w14:paraId="02AF96F4"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Получатель: Депфин Югорска (Администрация города Югорска, л/с 001.00.000.0, счёт № 03231643718870008700)</w:t>
            </w:r>
          </w:p>
          <w:p w14:paraId="253ECC75"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Банк: РКЦ Ханты-Мансийск/УФК по Ханты-Мансийскому автономному округу – Югре, г. Ханты-Мансийск</w:t>
            </w:r>
          </w:p>
          <w:p w14:paraId="753678B9"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БИК 007162163</w:t>
            </w:r>
          </w:p>
          <w:p w14:paraId="45C2485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р/с 40102810245370000007</w:t>
            </w:r>
          </w:p>
          <w:p w14:paraId="495E2A9D"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ОКПО 04262843, ОКТМО 71887000</w:t>
            </w:r>
          </w:p>
          <w:p w14:paraId="3C95B049" w14:textId="77777777" w:rsidR="006969B9" w:rsidRPr="006969B9" w:rsidRDefault="006969B9" w:rsidP="006969B9">
            <w:pPr>
              <w:spacing w:after="0"/>
              <w:rPr>
                <w:rFonts w:ascii="PT Astra Serif" w:hAnsi="PT Astra Serif"/>
                <w:color w:val="00000A"/>
              </w:rPr>
            </w:pPr>
            <w:r w:rsidRPr="006969B9">
              <w:rPr>
                <w:rFonts w:ascii="PT Astra Serif" w:hAnsi="PT Astra Serif"/>
                <w:color w:val="00000A"/>
              </w:rPr>
              <w:t xml:space="preserve">Дата постановки на </w:t>
            </w:r>
            <w:proofErr w:type="spellStart"/>
            <w:r w:rsidRPr="006969B9">
              <w:rPr>
                <w:rFonts w:ascii="PT Astra Serif" w:hAnsi="PT Astra Serif"/>
                <w:color w:val="00000A"/>
              </w:rPr>
              <w:t>учет</w:t>
            </w:r>
            <w:proofErr w:type="spellEnd"/>
            <w:r w:rsidRPr="006969B9">
              <w:rPr>
                <w:rFonts w:ascii="PT Astra Serif" w:hAnsi="PT Astra Serif"/>
                <w:color w:val="00000A"/>
              </w:rPr>
              <w:t xml:space="preserve"> 19.09.2002.</w:t>
            </w:r>
          </w:p>
          <w:p w14:paraId="5598C5E6" w14:textId="77777777" w:rsidR="006969B9" w:rsidRPr="006969B9" w:rsidRDefault="006969B9" w:rsidP="006969B9">
            <w:pPr>
              <w:spacing w:after="0"/>
              <w:ind w:firstLine="709"/>
              <w:rPr>
                <w:rFonts w:ascii="PT Astra Serif" w:hAnsi="PT Astra Serif"/>
                <w:color w:val="00000A"/>
              </w:rPr>
            </w:pP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D1206A" w:rsidRDefault="006969B9" w:rsidP="006969B9">
            <w:pPr>
              <w:autoSpaceDE w:val="0"/>
              <w:autoSpaceDN w:val="0"/>
              <w:adjustRightInd w:val="0"/>
              <w:spacing w:after="0"/>
              <w:rPr>
                <w:rFonts w:ascii="PT Astra Serif" w:hAnsi="PT Astra Serif"/>
              </w:rPr>
            </w:pPr>
            <w:r w:rsidRPr="006969B9">
              <w:rPr>
                <w:rFonts w:ascii="PT Astra Serif" w:hAnsi="PT Astra Serif"/>
                <w:sz w:val="20"/>
              </w:rPr>
              <w:t>М.П.</w:t>
            </w:r>
          </w:p>
        </w:tc>
        <w:tc>
          <w:tcPr>
            <w:tcW w:w="4733"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342199FA" w:rsidR="00AB418B" w:rsidRPr="00D22DC4" w:rsidRDefault="00AB418B" w:rsidP="00AB418B">
      <w:pPr>
        <w:spacing w:after="0"/>
        <w:rPr>
          <w:rFonts w:ascii="PT Astra Serif" w:hAnsi="PT Astra Serif"/>
          <w:sz w:val="28"/>
          <w:lang w:val="en-US"/>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D22DC4" w:rsidRDefault="00053F01" w:rsidP="00053F01">
      <w:pPr>
        <w:spacing w:after="0"/>
        <w:rPr>
          <w:rFonts w:ascii="PT Astra Serif" w:hAnsi="PT Astra Serif"/>
          <w:sz w:val="28"/>
          <w:lang w:val="en-US"/>
        </w:rPr>
      </w:pP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5F05DD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proofErr w:type="spellStart"/>
      <w:r w:rsidR="00607C5B" w:rsidRPr="00D22DC4">
        <w:rPr>
          <w:rFonts w:ascii="PT Astra Serif" w:hAnsi="PT Astra Serif"/>
          <w:sz w:val="28"/>
        </w:rPr>
        <w:t>Сахибгариева</w:t>
      </w:r>
      <w:proofErr w:type="spellEnd"/>
      <w:r w:rsidR="00607C5B" w:rsidRPr="00D22DC4">
        <w:rPr>
          <w:rFonts w:ascii="PT Astra Serif" w:hAnsi="PT Astra Serif"/>
          <w:sz w:val="28"/>
        </w:rPr>
        <w:t xml:space="preserve"> А.З</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059B604F" w:rsidR="00607C5B" w:rsidRPr="00DB69CB" w:rsidRDefault="00607C5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(запасны</w:t>
      </w:r>
      <w:r w:rsidR="006969B9" w:rsidRPr="00DB69CB">
        <w:rPr>
          <w:rFonts w:ascii="PT Astra Serif" w:hAnsi="PT Astra Serif"/>
          <w:b/>
          <w:bCs/>
        </w:rPr>
        <w:t>е</w:t>
      </w:r>
      <w:r w:rsidRPr="00DB69CB">
        <w:rPr>
          <w:rFonts w:ascii="PT Astra Serif" w:hAnsi="PT Astra Serif"/>
          <w:b/>
          <w:bCs/>
        </w:rPr>
        <w:t xml:space="preserve"> част</w:t>
      </w:r>
      <w:r w:rsidR="006969B9" w:rsidRPr="00DB69CB">
        <w:rPr>
          <w:rFonts w:ascii="PT Astra Serif" w:hAnsi="PT Astra Serif"/>
          <w:b/>
          <w:bCs/>
        </w:rPr>
        <w:t>и</w:t>
      </w:r>
      <w:r w:rsidRPr="00DB69CB">
        <w:rPr>
          <w:rFonts w:ascii="PT Astra Serif" w:hAnsi="PT Astra Serif"/>
          <w:b/>
          <w:bCs/>
        </w:rPr>
        <w:t xml:space="preserve">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DB69C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6C614E3E" w14:textId="77777777" w:rsidR="009D3586" w:rsidRPr="00DB69CB" w:rsidRDefault="009D3586" w:rsidP="009D3586">
      <w:pPr>
        <w:autoSpaceDE w:val="0"/>
        <w:autoSpaceDN w:val="0"/>
        <w:adjustRightInd w:val="0"/>
        <w:spacing w:after="0"/>
        <w:ind w:left="927"/>
        <w:jc w:val="left"/>
        <w:rPr>
          <w:rFonts w:ascii="PT Astra Serif" w:hAnsi="PT Astra Serif"/>
          <w:bCs/>
          <w:sz w:val="22"/>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754"/>
        <w:gridCol w:w="2693"/>
        <w:gridCol w:w="822"/>
        <w:gridCol w:w="1134"/>
        <w:gridCol w:w="850"/>
        <w:gridCol w:w="1135"/>
      </w:tblGrid>
      <w:tr w:rsidR="00B81513" w:rsidRPr="00D1206A" w14:paraId="58B2AC57" w14:textId="77777777" w:rsidTr="00D22DC4">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754"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2693"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607C5B" w:rsidRPr="009E6CCE" w14:paraId="2A6A805C" w14:textId="77777777" w:rsidTr="00D22DC4">
        <w:tc>
          <w:tcPr>
            <w:tcW w:w="535" w:type="dxa"/>
            <w:shd w:val="clear" w:color="auto" w:fill="auto"/>
          </w:tcPr>
          <w:p w14:paraId="66984729" w14:textId="177478B8" w:rsidR="00607C5B" w:rsidRPr="009E6CCE" w:rsidRDefault="00F637B2" w:rsidP="00F637B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754" w:type="dxa"/>
            <w:tcBorders>
              <w:top w:val="single" w:sz="4" w:space="0" w:color="auto"/>
              <w:left w:val="single" w:sz="4" w:space="0" w:color="auto"/>
              <w:bottom w:val="single" w:sz="4" w:space="0" w:color="auto"/>
              <w:right w:val="single" w:sz="4" w:space="0" w:color="auto"/>
            </w:tcBorders>
          </w:tcPr>
          <w:p w14:paraId="7AEED040" w14:textId="5D565DA4" w:rsidR="00607C5B" w:rsidRPr="009E6CCE" w:rsidRDefault="00607C5B" w:rsidP="00607C5B">
            <w:pPr>
              <w:autoSpaceDE w:val="0"/>
              <w:spacing w:after="0"/>
              <w:rPr>
                <w:rFonts w:ascii="PT Astra Serif" w:hAnsi="PT Astra Serif"/>
              </w:rPr>
            </w:pPr>
            <w:r w:rsidRPr="00607C5B">
              <w:rPr>
                <w:rFonts w:ascii="PT Astra Serif" w:hAnsi="PT Astra Serif"/>
                <w:sz w:val="20"/>
                <w:szCs w:val="20"/>
              </w:rPr>
              <w:t>Накопитель SSD</w:t>
            </w:r>
          </w:p>
        </w:tc>
        <w:tc>
          <w:tcPr>
            <w:tcW w:w="2693" w:type="dxa"/>
            <w:tcBorders>
              <w:top w:val="single" w:sz="4" w:space="0" w:color="auto"/>
              <w:left w:val="single" w:sz="4" w:space="0" w:color="auto"/>
              <w:bottom w:val="single" w:sz="4" w:space="0" w:color="auto"/>
              <w:right w:val="single" w:sz="4" w:space="0" w:color="auto"/>
            </w:tcBorders>
          </w:tcPr>
          <w:p w14:paraId="36B817B8" w14:textId="77777777" w:rsidR="00607C5B" w:rsidRPr="009E6CC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4F72BA0C" w14:textId="37795F19" w:rsidR="00607C5B" w:rsidRPr="009E6CCE" w:rsidRDefault="00607C5B" w:rsidP="00607C5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34" w:type="dxa"/>
            <w:shd w:val="clear" w:color="auto" w:fill="auto"/>
          </w:tcPr>
          <w:p w14:paraId="7F582DC8"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E1402C" w14:textId="79382900" w:rsidR="00607C5B" w:rsidRPr="009E6CCE" w:rsidRDefault="00607C5B" w:rsidP="006969B9">
            <w:pPr>
              <w:autoSpaceDE w:val="0"/>
              <w:spacing w:after="0"/>
              <w:jc w:val="center"/>
              <w:rPr>
                <w:rFonts w:ascii="PT Astra Serif" w:hAnsi="PT Astra Serif"/>
                <w:sz w:val="20"/>
              </w:rPr>
            </w:pPr>
            <w:r>
              <w:rPr>
                <w:rFonts w:ascii="PT Astra Serif" w:hAnsi="PT Astra Serif"/>
                <w:sz w:val="20"/>
              </w:rPr>
              <w:t>2</w:t>
            </w:r>
            <w:r w:rsidR="006969B9">
              <w:rPr>
                <w:rFonts w:ascii="PT Astra Serif" w:hAnsi="PT Astra Serif"/>
                <w:sz w:val="20"/>
              </w:rPr>
              <w:t>0</w:t>
            </w:r>
          </w:p>
        </w:tc>
        <w:tc>
          <w:tcPr>
            <w:tcW w:w="1135" w:type="dxa"/>
            <w:shd w:val="clear" w:color="auto" w:fill="auto"/>
          </w:tcPr>
          <w:p w14:paraId="0067D532"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bookmarkStart w:id="4" w:name="_GoBack"/>
            <w:bookmarkEnd w:id="4"/>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5C676A27" w14:textId="10BF1137" w:rsidR="00C9673B" w:rsidRPr="00DB69CB" w:rsidRDefault="00205304"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C9673B" w:rsidRPr="00DB69CB">
        <w:rPr>
          <w:rFonts w:ascii="PT Astra Serif" w:hAnsi="PT Astra Serif"/>
          <w:bCs/>
        </w:rPr>
        <w:t xml:space="preserve">Гарантийный срок Поставщика на оборудование – </w:t>
      </w:r>
      <w:r w:rsidR="00C9673B"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00C9673B" w:rsidRPr="00DB69CB">
        <w:rPr>
          <w:rFonts w:ascii="PT Astra Serif" w:hAnsi="PT Astra Serif"/>
          <w:bCs/>
          <w:color w:val="000099"/>
        </w:rPr>
        <w:t xml:space="preserve">ти месяцев. </w:t>
      </w:r>
      <w:r w:rsidR="00C9673B" w:rsidRPr="00DB69CB">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600175A3" w:rsidR="00C9673B" w:rsidRPr="00DB69CB" w:rsidRDefault="00C9673B"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Pr="00DB69CB">
        <w:rPr>
          <w:rFonts w:ascii="PT Astra Serif" w:hAnsi="PT Astra Serif"/>
          <w:bCs/>
          <w:color w:val="000099"/>
        </w:rPr>
        <w:t>ти месяцев с</w:t>
      </w:r>
      <w:r w:rsidRPr="00DB69CB">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25875" w14:textId="77777777" w:rsidR="003D7833" w:rsidRDefault="003D7833">
      <w:r>
        <w:separator/>
      </w:r>
    </w:p>
  </w:endnote>
  <w:endnote w:type="continuationSeparator" w:id="0">
    <w:p w14:paraId="3AF1E648" w14:textId="77777777" w:rsidR="003D7833" w:rsidRDefault="003D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7B3B468D"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C3771">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82E42" w14:textId="77777777" w:rsidR="003D7833" w:rsidRDefault="003D7833">
      <w:r>
        <w:separator/>
      </w:r>
    </w:p>
  </w:footnote>
  <w:footnote w:type="continuationSeparator" w:id="0">
    <w:p w14:paraId="7BB330F3" w14:textId="77777777" w:rsidR="003D7833" w:rsidRDefault="003D7833">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 xml:space="preserve">Во всех случаях (за исключением случаев, предусмотренных пунктами 4 - </w:t>
      </w:r>
      <w:hyperlink r:id="rId1" w:history="1">
        <w:r w:rsidRPr="00D22DC4">
          <w:rPr>
            <w:rFonts w:ascii="PT Astra Serif" w:hAnsi="PT Astra Serif" w:cs="Times New Roman"/>
          </w:rPr>
          <w:t>8</w:t>
        </w:r>
      </w:hyperlink>
      <w:r w:rsidRPr="00D22DC4">
        <w:rPr>
          <w:rFonts w:ascii="PT Astra Serif" w:hAnsi="PT Astra Serif" w:cs="Times New Roman"/>
        </w:rPr>
        <w:t xml:space="preserve"> Правил) размер штрафа устанавливается в соответствии с пунктом 3 Правил:</w:t>
      </w:r>
    </w:p>
    <w:p w14:paraId="5571D635"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(этапа) в случае, если цена Контракта (этапа) не превышает 3 млн рублей;</w:t>
      </w:r>
    </w:p>
    <w:p w14:paraId="0B33879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0,1 процента цены Контракта (этапа) в случае, если цена Контракта (этапа) превышает 10 млрд рублей.</w:t>
      </w:r>
    </w:p>
    <w:p w14:paraId="7BC31C5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D22DC4">
          <w:rPr>
            <w:rFonts w:ascii="PT Astra Serif" w:hAnsi="PT Astra Serif" w:cs="Times New Roman"/>
          </w:rPr>
          <w:t>пунктом 1 части 1 статьи 30</w:t>
        </w:r>
      </w:hyperlink>
      <w:r w:rsidRPr="00D22DC4">
        <w:rPr>
          <w:rFonts w:ascii="PT Astra Serif" w:hAnsi="PT Astra Serif" w:cs="Times New Roman"/>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DF8"/>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548F7-6C64-4E05-B3BA-56C6746A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14</Pages>
  <Words>5443</Words>
  <Characters>31029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36400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70</cp:revision>
  <cp:lastPrinted>2021-02-10T11:48:00Z</cp:lastPrinted>
  <dcterms:created xsi:type="dcterms:W3CDTF">2020-01-30T12:23:00Z</dcterms:created>
  <dcterms:modified xsi:type="dcterms:W3CDTF">2021-02-19T09:57:00Z</dcterms:modified>
</cp:coreProperties>
</file>