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237E" w:rsidRDefault="00BF237E" w:rsidP="00BF237E">
      <w:pPr>
        <w:jc w:val="center"/>
        <w:rPr>
          <w:b/>
        </w:rPr>
      </w:pPr>
      <w:r>
        <w:rPr>
          <w:b/>
        </w:rPr>
        <w:t>Муниципальное образование  городской округ – город Югорск</w:t>
      </w:r>
    </w:p>
    <w:p w:rsidR="00BF237E" w:rsidRDefault="00BF237E" w:rsidP="00BF237E">
      <w:pPr>
        <w:jc w:val="center"/>
        <w:rPr>
          <w:b/>
        </w:rPr>
      </w:pPr>
      <w:r>
        <w:rPr>
          <w:b/>
        </w:rPr>
        <w:t>Администрация города Югорска</w:t>
      </w:r>
    </w:p>
    <w:p w:rsidR="00BF237E" w:rsidRDefault="00BF237E" w:rsidP="00BF237E">
      <w:pPr>
        <w:jc w:val="center"/>
        <w:rPr>
          <w:b/>
          <w:bCs/>
        </w:rPr>
      </w:pPr>
      <w:r>
        <w:rPr>
          <w:b/>
          <w:bCs/>
        </w:rPr>
        <w:t>ПРОТОКОЛ</w:t>
      </w:r>
    </w:p>
    <w:p w:rsidR="00BF237E" w:rsidRDefault="00BF237E" w:rsidP="00BF237E">
      <w:pPr>
        <w:jc w:val="center"/>
        <w:rPr>
          <w:b/>
        </w:rPr>
      </w:pPr>
      <w:r>
        <w:rPr>
          <w:b/>
        </w:rPr>
        <w:t>рассмотрения заявок на участие в аукционе в электронной форме</w:t>
      </w:r>
    </w:p>
    <w:p w:rsidR="00BF237E" w:rsidRDefault="00BF237E" w:rsidP="00BF237E">
      <w:pPr>
        <w:jc w:val="center"/>
        <w:rPr>
          <w:b/>
        </w:rPr>
      </w:pPr>
    </w:p>
    <w:p w:rsidR="00BF237E" w:rsidRPr="00A655CB" w:rsidRDefault="00BF237E" w:rsidP="00A655CB">
      <w:pPr>
        <w:ind w:left="-426"/>
        <w:jc w:val="both"/>
      </w:pPr>
      <w:r>
        <w:t>«11» июля 2017 г.                                                                          № 01873000058170001</w:t>
      </w:r>
      <w:r w:rsidR="00DF3E9C">
        <w:t>9</w:t>
      </w:r>
      <w:r>
        <w:t>7-1</w:t>
      </w:r>
    </w:p>
    <w:p w:rsidR="00BF237E" w:rsidRPr="00A655CB" w:rsidRDefault="00BF237E" w:rsidP="00A655CB">
      <w:pPr>
        <w:pStyle w:val="a6"/>
        <w:spacing w:after="0" w:line="240" w:lineRule="auto"/>
        <w:ind w:left="-426"/>
        <w:jc w:val="both"/>
        <w:rPr>
          <w:rFonts w:ascii="Times New Roman" w:hAnsi="Times New Roman"/>
          <w:sz w:val="24"/>
          <w:szCs w:val="24"/>
        </w:rPr>
      </w:pPr>
      <w:r w:rsidRPr="00A655CB">
        <w:rPr>
          <w:rFonts w:ascii="Times New Roman" w:hAnsi="Times New Roman"/>
          <w:sz w:val="24"/>
          <w:szCs w:val="24"/>
        </w:rPr>
        <w:t xml:space="preserve">ПРИСУТСТВОВАЛИ: </w:t>
      </w:r>
    </w:p>
    <w:p w:rsidR="00BF237E" w:rsidRPr="00A655CB" w:rsidRDefault="00BF237E" w:rsidP="00A655CB">
      <w:pPr>
        <w:pStyle w:val="a6"/>
        <w:spacing w:after="0" w:line="240" w:lineRule="auto"/>
        <w:ind w:left="-426"/>
        <w:jc w:val="both"/>
        <w:rPr>
          <w:rFonts w:ascii="Times New Roman" w:hAnsi="Times New Roman"/>
          <w:sz w:val="24"/>
          <w:szCs w:val="24"/>
        </w:rPr>
      </w:pPr>
      <w:r w:rsidRPr="00A655CB">
        <w:rPr>
          <w:rFonts w:ascii="Times New Roman" w:hAnsi="Times New Roman"/>
          <w:sz w:val="24"/>
          <w:szCs w:val="24"/>
        </w:rPr>
        <w:t>Единая комиссия по осуществлению закупок для обеспечения муниципальных нужд города Югорска (далее - комиссия) в следующем  составе:</w:t>
      </w:r>
    </w:p>
    <w:p w:rsidR="00BF237E" w:rsidRPr="00A655CB" w:rsidRDefault="00BF237E" w:rsidP="00A655CB">
      <w:pPr>
        <w:pStyle w:val="a6"/>
        <w:spacing w:after="0" w:line="240" w:lineRule="auto"/>
        <w:ind w:left="-426"/>
        <w:jc w:val="both"/>
        <w:rPr>
          <w:rFonts w:ascii="Times New Roman" w:hAnsi="Times New Roman"/>
          <w:sz w:val="24"/>
          <w:szCs w:val="24"/>
        </w:rPr>
      </w:pPr>
      <w:r w:rsidRPr="00A655CB">
        <w:rPr>
          <w:rFonts w:ascii="Times New Roman" w:hAnsi="Times New Roman"/>
          <w:sz w:val="24"/>
          <w:szCs w:val="24"/>
        </w:rPr>
        <w:t>1. С.Д. Голин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Югорска;</w:t>
      </w:r>
    </w:p>
    <w:p w:rsidR="00BF237E" w:rsidRPr="00A655CB" w:rsidRDefault="00BF237E" w:rsidP="00A655CB">
      <w:pPr>
        <w:ind w:left="-426"/>
      </w:pPr>
      <w:r w:rsidRPr="00A655CB">
        <w:t xml:space="preserve">2. В.К. Бандурин  - заместитель председателя комиссии, заместитель главы города - директор  департамента </w:t>
      </w:r>
      <w:proofErr w:type="spellStart"/>
      <w:r w:rsidRPr="00A655CB">
        <w:t>жилищно</w:t>
      </w:r>
      <w:proofErr w:type="spellEnd"/>
      <w:r w:rsidRPr="00A655CB">
        <w:t xml:space="preserve"> - коммунального и строительного комплекса администрации города Югорска;</w:t>
      </w:r>
    </w:p>
    <w:p w:rsidR="00BF237E" w:rsidRPr="00A655CB" w:rsidRDefault="00BF237E" w:rsidP="00A655CB">
      <w:pPr>
        <w:pStyle w:val="a6"/>
        <w:spacing w:after="0" w:line="240" w:lineRule="auto"/>
        <w:ind w:left="-426"/>
        <w:jc w:val="both"/>
        <w:rPr>
          <w:rFonts w:ascii="Times New Roman" w:hAnsi="Times New Roman"/>
          <w:sz w:val="24"/>
          <w:szCs w:val="24"/>
        </w:rPr>
      </w:pPr>
      <w:r w:rsidRPr="00A655CB">
        <w:rPr>
          <w:rFonts w:ascii="Times New Roman" w:hAnsi="Times New Roman"/>
          <w:sz w:val="24"/>
          <w:szCs w:val="24"/>
        </w:rPr>
        <w:t>3. В.А. Климин - председатель Думы города Югорска;</w:t>
      </w:r>
    </w:p>
    <w:p w:rsidR="00BF237E" w:rsidRPr="00A655CB" w:rsidRDefault="00BF237E" w:rsidP="00A655CB">
      <w:pPr>
        <w:pStyle w:val="a6"/>
        <w:spacing w:after="0" w:line="240" w:lineRule="auto"/>
        <w:ind w:left="-426"/>
        <w:jc w:val="both"/>
        <w:rPr>
          <w:rFonts w:ascii="Times New Roman" w:hAnsi="Times New Roman"/>
          <w:sz w:val="24"/>
          <w:szCs w:val="24"/>
        </w:rPr>
      </w:pPr>
      <w:r w:rsidRPr="00A655CB">
        <w:rPr>
          <w:rFonts w:ascii="Times New Roman" w:hAnsi="Times New Roman"/>
          <w:sz w:val="24"/>
          <w:szCs w:val="24"/>
        </w:rPr>
        <w:t>4. Н.А. Морозова – советник руководителя;</w:t>
      </w:r>
    </w:p>
    <w:p w:rsidR="00BF237E" w:rsidRPr="00A655CB" w:rsidRDefault="00BF237E" w:rsidP="00A655CB">
      <w:pPr>
        <w:pStyle w:val="a6"/>
        <w:spacing w:after="0" w:line="240" w:lineRule="auto"/>
        <w:ind w:left="-426"/>
        <w:jc w:val="both"/>
        <w:rPr>
          <w:rFonts w:ascii="Times New Roman" w:hAnsi="Times New Roman"/>
          <w:sz w:val="24"/>
          <w:szCs w:val="24"/>
        </w:rPr>
      </w:pPr>
      <w:r w:rsidRPr="00A655CB">
        <w:rPr>
          <w:rFonts w:ascii="Times New Roman" w:hAnsi="Times New Roman"/>
          <w:sz w:val="24"/>
          <w:szCs w:val="24"/>
        </w:rPr>
        <w:t>5. Т.И. Долгодворова - заместитель главы города Югорска;</w:t>
      </w:r>
    </w:p>
    <w:p w:rsidR="00BF237E" w:rsidRPr="00A655CB" w:rsidRDefault="00BF237E" w:rsidP="00A655CB">
      <w:pPr>
        <w:pStyle w:val="a6"/>
        <w:tabs>
          <w:tab w:val="left" w:pos="1134"/>
        </w:tabs>
        <w:spacing w:after="0" w:line="240" w:lineRule="auto"/>
        <w:ind w:left="-426"/>
        <w:jc w:val="both"/>
        <w:rPr>
          <w:rFonts w:ascii="Times New Roman" w:hAnsi="Times New Roman"/>
          <w:sz w:val="24"/>
          <w:szCs w:val="24"/>
        </w:rPr>
      </w:pPr>
      <w:r w:rsidRPr="00A655CB">
        <w:rPr>
          <w:rFonts w:ascii="Times New Roman" w:hAnsi="Times New Roman"/>
          <w:sz w:val="24"/>
          <w:szCs w:val="24"/>
        </w:rPr>
        <w:t>6. А.Т. Абдуллаев - начальник отдела по управлению муниципальным имуществом департамента муниципальной собственности и градостроительст</w:t>
      </w:r>
      <w:r w:rsidR="00DF3E9C" w:rsidRPr="00A655CB">
        <w:rPr>
          <w:rFonts w:ascii="Times New Roman" w:hAnsi="Times New Roman"/>
          <w:sz w:val="24"/>
          <w:szCs w:val="24"/>
        </w:rPr>
        <w:t>ва администрации города Югорска.</w:t>
      </w:r>
    </w:p>
    <w:p w:rsidR="00BF237E" w:rsidRPr="00BF237E" w:rsidRDefault="00BF237E" w:rsidP="00A655CB">
      <w:pPr>
        <w:tabs>
          <w:tab w:val="left" w:pos="1134"/>
        </w:tabs>
        <w:ind w:left="-426"/>
        <w:jc w:val="both"/>
      </w:pPr>
      <w:r w:rsidRPr="00A655CB">
        <w:t>Всего присутствовали 6 членов комиссии из 8.</w:t>
      </w:r>
    </w:p>
    <w:p w:rsidR="00BF237E" w:rsidRDefault="00BF237E" w:rsidP="00A655CB">
      <w:pPr>
        <w:tabs>
          <w:tab w:val="num" w:pos="567"/>
          <w:tab w:val="num" w:pos="927"/>
        </w:tabs>
        <w:autoSpaceDE w:val="0"/>
        <w:autoSpaceDN w:val="0"/>
        <w:adjustRightInd w:val="0"/>
        <w:ind w:left="-426"/>
        <w:jc w:val="both"/>
      </w:pPr>
      <w:r>
        <w:t xml:space="preserve">Представитель заказчика: </w:t>
      </w:r>
      <w:r w:rsidR="00DF3E9C" w:rsidRPr="00613453">
        <w:t>Овечкин Виктор Юрьевич</w:t>
      </w:r>
      <w:r w:rsidR="00DF3E9C">
        <w:t xml:space="preserve">, </w:t>
      </w:r>
      <w:r w:rsidR="00DF3E9C" w:rsidRPr="00613453">
        <w:t>заместитель директора</w:t>
      </w:r>
      <w:r w:rsidR="00DF3E9C">
        <w:t xml:space="preserve"> м</w:t>
      </w:r>
      <w:r w:rsidR="00DF3E9C" w:rsidRPr="00613453">
        <w:t>униципально</w:t>
      </w:r>
      <w:r w:rsidR="00DF3E9C">
        <w:t>го</w:t>
      </w:r>
      <w:r w:rsidR="00DF3E9C" w:rsidRPr="00613453">
        <w:t xml:space="preserve"> казенно</w:t>
      </w:r>
      <w:r w:rsidR="00DF3E9C">
        <w:t>го</w:t>
      </w:r>
      <w:r w:rsidR="00DF3E9C" w:rsidRPr="00613453">
        <w:t xml:space="preserve"> учреждени</w:t>
      </w:r>
      <w:r w:rsidR="00DF3E9C">
        <w:t>я</w:t>
      </w:r>
      <w:r w:rsidR="00DF3E9C" w:rsidRPr="00613453">
        <w:t xml:space="preserve"> «Служба обеспечения органов местного самоуправления».</w:t>
      </w:r>
    </w:p>
    <w:p w:rsidR="00BF237E" w:rsidRPr="00BF237E" w:rsidRDefault="00BF237E" w:rsidP="00A655CB">
      <w:pPr>
        <w:tabs>
          <w:tab w:val="num" w:pos="567"/>
          <w:tab w:val="num" w:pos="927"/>
        </w:tabs>
        <w:autoSpaceDE w:val="0"/>
        <w:autoSpaceDN w:val="0"/>
        <w:adjustRightInd w:val="0"/>
        <w:ind w:left="-426"/>
        <w:jc w:val="both"/>
      </w:pPr>
      <w:r>
        <w:t xml:space="preserve">1. </w:t>
      </w:r>
      <w:r w:rsidRPr="00BF237E">
        <w:t>Наименование аукциона: аукцион в электронной форме № 0187300005817000</w:t>
      </w:r>
      <w:r w:rsidR="00DF3E9C">
        <w:t>197</w:t>
      </w:r>
      <w:r w:rsidRPr="00BF237E">
        <w:t xml:space="preserve"> </w:t>
      </w:r>
      <w:r w:rsidR="00EC2D09">
        <w:t>на право заключения муниципального контракта на поставку автомобиля</w:t>
      </w:r>
      <w:r w:rsidR="00EC2D09" w:rsidRPr="00613453">
        <w:t>.</w:t>
      </w:r>
    </w:p>
    <w:p w:rsidR="00BF237E" w:rsidRPr="00BF237E" w:rsidRDefault="00BF237E" w:rsidP="00A655CB">
      <w:pPr>
        <w:tabs>
          <w:tab w:val="num" w:pos="567"/>
        </w:tabs>
        <w:suppressAutoHyphens w:val="0"/>
        <w:autoSpaceDE w:val="0"/>
        <w:autoSpaceDN w:val="0"/>
        <w:adjustRightInd w:val="0"/>
        <w:ind w:left="-426"/>
        <w:jc w:val="both"/>
      </w:pPr>
      <w:r w:rsidRPr="00BF237E">
        <w:t xml:space="preserve">1.1 Номер извещения о проведении торгов на официальном сайте – </w:t>
      </w:r>
      <w:hyperlink r:id="rId6" w:history="1">
        <w:r w:rsidRPr="00BF237E">
          <w:t>http://zakupki.gov.ru/</w:t>
        </w:r>
      </w:hyperlink>
      <w:r w:rsidRPr="00BF237E">
        <w:t>, код аукциона 01873000058170001</w:t>
      </w:r>
      <w:r w:rsidR="00DF3E9C">
        <w:t>9</w:t>
      </w:r>
      <w:r w:rsidRPr="00BF237E">
        <w:t>7, дата публикации 1</w:t>
      </w:r>
      <w:r w:rsidR="00DF3E9C">
        <w:t>9</w:t>
      </w:r>
      <w:r w:rsidRPr="00BF237E">
        <w:t xml:space="preserve">.06.2017. </w:t>
      </w:r>
    </w:p>
    <w:p w:rsidR="00DF3E9C" w:rsidRPr="00613453" w:rsidRDefault="00DF3E9C" w:rsidP="00A655CB">
      <w:pPr>
        <w:tabs>
          <w:tab w:val="num" w:pos="567"/>
        </w:tabs>
        <w:autoSpaceDE w:val="0"/>
        <w:autoSpaceDN w:val="0"/>
        <w:adjustRightInd w:val="0"/>
        <w:ind w:left="-426"/>
        <w:jc w:val="both"/>
        <w:rPr>
          <w:color w:val="000000" w:themeColor="text1"/>
        </w:rPr>
      </w:pPr>
      <w:r w:rsidRPr="00613453">
        <w:rPr>
          <w:color w:val="000000" w:themeColor="text1"/>
        </w:rPr>
        <w:t xml:space="preserve">Идентификационный код закупки: </w:t>
      </w:r>
      <w:r w:rsidRPr="00A01D78">
        <w:rPr>
          <w:color w:val="000000" w:themeColor="text1"/>
        </w:rPr>
        <w:t>173862201905886220100100220222910244</w:t>
      </w:r>
      <w:r>
        <w:rPr>
          <w:color w:val="000000" w:themeColor="text1"/>
        </w:rPr>
        <w:t>.</w:t>
      </w:r>
    </w:p>
    <w:p w:rsidR="00DF3E9C" w:rsidRPr="00F356E7" w:rsidRDefault="00BF237E" w:rsidP="00A655CB">
      <w:pPr>
        <w:tabs>
          <w:tab w:val="num" w:pos="567"/>
          <w:tab w:val="num" w:pos="927"/>
        </w:tabs>
        <w:autoSpaceDE w:val="0"/>
        <w:autoSpaceDN w:val="0"/>
        <w:adjustRightInd w:val="0"/>
        <w:ind w:left="-426"/>
        <w:jc w:val="both"/>
      </w:pPr>
      <w:r w:rsidRPr="00BF237E">
        <w:t>2.</w:t>
      </w:r>
      <w:r w:rsidR="00DF3E9C">
        <w:t xml:space="preserve"> </w:t>
      </w:r>
      <w:r w:rsidR="00DF3E9C" w:rsidRPr="00F356E7">
        <w:t xml:space="preserve">Заказчик: </w:t>
      </w:r>
      <w:r w:rsidR="00DF3E9C" w:rsidRPr="00613453">
        <w:t>Муниципальное казенное учреждение «Служба обеспечения органов местного самоуправления».</w:t>
      </w:r>
      <w:r w:rsidRPr="00BF237E">
        <w:t xml:space="preserve"> </w:t>
      </w:r>
      <w:proofErr w:type="gramStart"/>
      <w:r w:rsidR="00DF3E9C" w:rsidRPr="00F356E7">
        <w:t xml:space="preserve">Почтовый адрес: </w:t>
      </w:r>
      <w:r w:rsidR="00DF3E9C" w:rsidRPr="00613453">
        <w:t>628260, Тюменская обл., Ханты - Мансийский автономный округ - Югра,  г. Югорск, ул. 40 лет Победы, 11.</w:t>
      </w:r>
      <w:proofErr w:type="gramEnd"/>
    </w:p>
    <w:p w:rsidR="00BF237E" w:rsidRPr="00A655CB" w:rsidRDefault="00BF237E" w:rsidP="00A655CB">
      <w:pPr>
        <w:tabs>
          <w:tab w:val="num" w:pos="567"/>
          <w:tab w:val="num" w:pos="927"/>
        </w:tabs>
        <w:autoSpaceDE w:val="0"/>
        <w:autoSpaceDN w:val="0"/>
        <w:adjustRightInd w:val="0"/>
        <w:ind w:left="-426"/>
        <w:jc w:val="both"/>
      </w:pPr>
      <w:r>
        <w:t>3. Процедура рассмотрения первых частей заявок на участие в аукционе была проведена комиссией в 10.00 часов 11 июля 2017 года, по адресу: ул. 40 лет Победы, 11, г. Югорск, Ханты-Мансийский  автономный округ-Югра.</w:t>
      </w:r>
    </w:p>
    <w:p w:rsidR="00BF237E" w:rsidRPr="00A655CB" w:rsidRDefault="00BF237E" w:rsidP="00A655CB">
      <w:pPr>
        <w:ind w:left="-426"/>
        <w:jc w:val="both"/>
      </w:pPr>
      <w:r w:rsidRPr="00A655CB">
        <w:t>4. Количество поступивших заявок на участие  в аукционе –</w:t>
      </w:r>
      <w:r w:rsidR="00126AE2" w:rsidRPr="00A655CB">
        <w:t>4</w:t>
      </w:r>
      <w:r w:rsidRPr="00A655CB">
        <w:t>.</w:t>
      </w:r>
    </w:p>
    <w:p w:rsidR="00BF237E" w:rsidRDefault="00BF237E" w:rsidP="00A655CB">
      <w:pPr>
        <w:ind w:left="-426"/>
        <w:jc w:val="both"/>
      </w:pPr>
      <w:r>
        <w:t xml:space="preserve">5. Комиссия рассмотрела первые части заявок и приняла следующее решение: </w:t>
      </w:r>
    </w:p>
    <w:tbl>
      <w:tblPr>
        <w:tblW w:w="5438" w:type="pct"/>
        <w:tblInd w:w="-411" w:type="dxa"/>
        <w:tblLook w:val="00A0" w:firstRow="1" w:lastRow="0" w:firstColumn="1" w:lastColumn="0" w:noHBand="0" w:noVBand="0"/>
      </w:tblPr>
      <w:tblGrid>
        <w:gridCol w:w="1431"/>
        <w:gridCol w:w="3248"/>
        <w:gridCol w:w="5528"/>
      </w:tblGrid>
      <w:tr w:rsidR="00BF237E" w:rsidTr="00A655CB">
        <w:tc>
          <w:tcPr>
            <w:tcW w:w="70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Default="00BF237E" w:rsidP="00A655CB">
            <w:pPr>
              <w:pStyle w:val="a4"/>
              <w:spacing w:line="276" w:lineRule="auto"/>
              <w:ind w:left="127"/>
              <w:jc w:val="center"/>
              <w:rPr>
                <w:lang w:eastAsia="en-US"/>
              </w:rPr>
            </w:pPr>
            <w:r>
              <w:rPr>
                <w:lang w:eastAsia="en-US"/>
              </w:rPr>
              <w:t>Порядковый номер заявки</w:t>
            </w:r>
          </w:p>
        </w:tc>
        <w:tc>
          <w:tcPr>
            <w:tcW w:w="1591"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Default="00BF237E" w:rsidP="00A655CB">
            <w:pPr>
              <w:pStyle w:val="a4"/>
              <w:spacing w:line="276" w:lineRule="auto"/>
              <w:ind w:left="206"/>
              <w:jc w:val="center"/>
              <w:rPr>
                <w:lang w:eastAsia="en-US"/>
              </w:rPr>
            </w:pPr>
            <w:r>
              <w:rPr>
                <w:lang w:eastAsia="en-US"/>
              </w:rPr>
              <w:t>Решение о допуске или об отказе в допуске</w:t>
            </w:r>
          </w:p>
        </w:tc>
        <w:tc>
          <w:tcPr>
            <w:tcW w:w="2708"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F237E" w:rsidRDefault="00BF237E" w:rsidP="00A655CB">
            <w:pPr>
              <w:pStyle w:val="a4"/>
              <w:spacing w:line="276" w:lineRule="auto"/>
              <w:ind w:left="-426"/>
              <w:jc w:val="center"/>
              <w:rPr>
                <w:lang w:eastAsia="en-US"/>
              </w:rPr>
            </w:pPr>
            <w:r>
              <w:rPr>
                <w:lang w:eastAsia="en-US"/>
              </w:rPr>
              <w:t>Причина отказа в допуске</w:t>
            </w:r>
          </w:p>
        </w:tc>
      </w:tr>
      <w:tr w:rsidR="00BF237E" w:rsidTr="00A655CB">
        <w:trPr>
          <w:trHeight w:val="530"/>
        </w:trPr>
        <w:tc>
          <w:tcPr>
            <w:tcW w:w="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844D72" w:rsidRDefault="00BF237E" w:rsidP="00A655CB">
            <w:pPr>
              <w:spacing w:line="276" w:lineRule="auto"/>
              <w:jc w:val="center"/>
              <w:rPr>
                <w:spacing w:val="-6"/>
                <w:sz w:val="18"/>
                <w:szCs w:val="18"/>
                <w:lang w:eastAsia="en-US"/>
              </w:rPr>
            </w:pPr>
            <w:r w:rsidRPr="00844D72">
              <w:rPr>
                <w:lang w:eastAsia="en-US"/>
              </w:rPr>
              <w:t>1</w:t>
            </w:r>
          </w:p>
        </w:tc>
        <w:tc>
          <w:tcPr>
            <w:tcW w:w="15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844D72" w:rsidRDefault="00BF237E" w:rsidP="00A655CB">
            <w:pPr>
              <w:widowControl w:val="0"/>
              <w:spacing w:line="276" w:lineRule="auto"/>
              <w:ind w:left="206"/>
              <w:jc w:val="center"/>
              <w:rPr>
                <w:spacing w:val="-6"/>
                <w:sz w:val="18"/>
                <w:szCs w:val="18"/>
                <w:lang w:eastAsia="en-US"/>
              </w:rPr>
            </w:pPr>
            <w:r w:rsidRPr="00844D72">
              <w:rPr>
                <w:spacing w:val="-6"/>
                <w:sz w:val="18"/>
                <w:szCs w:val="18"/>
                <w:lang w:eastAsia="en-US"/>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BF237E" w:rsidRDefault="00BF237E" w:rsidP="00A655CB">
            <w:pPr>
              <w:suppressAutoHyphens w:val="0"/>
              <w:spacing w:line="276" w:lineRule="auto"/>
              <w:ind w:left="-426"/>
              <w:rPr>
                <w:rFonts w:asciiTheme="minorHAnsi" w:eastAsiaTheme="minorHAnsi" w:hAnsiTheme="minorHAnsi"/>
                <w:kern w:val="0"/>
                <w:sz w:val="22"/>
                <w:szCs w:val="22"/>
                <w:lang w:eastAsia="en-US"/>
              </w:rPr>
            </w:pPr>
          </w:p>
        </w:tc>
      </w:tr>
      <w:tr w:rsidR="00BF237E" w:rsidTr="00A655CB">
        <w:trPr>
          <w:trHeight w:val="112"/>
        </w:trPr>
        <w:tc>
          <w:tcPr>
            <w:tcW w:w="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844D72" w:rsidRDefault="00BF237E" w:rsidP="00A655CB">
            <w:pPr>
              <w:spacing w:line="276" w:lineRule="auto"/>
              <w:jc w:val="center"/>
              <w:rPr>
                <w:sz w:val="20"/>
                <w:szCs w:val="20"/>
                <w:lang w:eastAsia="en-US"/>
              </w:rPr>
            </w:pPr>
            <w:r w:rsidRPr="00844D72">
              <w:rPr>
                <w:sz w:val="20"/>
                <w:szCs w:val="20"/>
                <w:lang w:eastAsia="en-US"/>
              </w:rPr>
              <w:t>2</w:t>
            </w:r>
          </w:p>
        </w:tc>
        <w:tc>
          <w:tcPr>
            <w:tcW w:w="15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BF237E" w:rsidRPr="00844D72" w:rsidRDefault="00BF237E" w:rsidP="00A655CB">
            <w:pPr>
              <w:spacing w:line="276" w:lineRule="auto"/>
              <w:ind w:left="206"/>
              <w:jc w:val="center"/>
              <w:rPr>
                <w:spacing w:val="-6"/>
                <w:sz w:val="20"/>
                <w:szCs w:val="20"/>
              </w:rPr>
            </w:pPr>
            <w:r w:rsidRPr="00844D72">
              <w:rPr>
                <w:spacing w:val="-6"/>
                <w:sz w:val="20"/>
                <w:szCs w:val="20"/>
                <w:lang w:eastAsia="en-US"/>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BF237E" w:rsidRPr="00844D72" w:rsidRDefault="00BF237E" w:rsidP="00A655CB">
            <w:pPr>
              <w:spacing w:line="276" w:lineRule="auto"/>
              <w:ind w:left="-426"/>
              <w:jc w:val="both"/>
              <w:rPr>
                <w:noProof/>
                <w:color w:val="C00000"/>
                <w:sz w:val="20"/>
                <w:szCs w:val="20"/>
              </w:rPr>
            </w:pPr>
          </w:p>
        </w:tc>
      </w:tr>
      <w:tr w:rsidR="00126AE2" w:rsidTr="00A655CB">
        <w:trPr>
          <w:trHeight w:val="112"/>
        </w:trPr>
        <w:tc>
          <w:tcPr>
            <w:tcW w:w="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AE2" w:rsidRPr="00844D72" w:rsidRDefault="00126AE2" w:rsidP="00A655CB">
            <w:pPr>
              <w:spacing w:line="276" w:lineRule="auto"/>
              <w:jc w:val="center"/>
              <w:rPr>
                <w:sz w:val="20"/>
                <w:szCs w:val="20"/>
                <w:lang w:eastAsia="en-US"/>
              </w:rPr>
            </w:pPr>
            <w:r w:rsidRPr="00844D72">
              <w:rPr>
                <w:sz w:val="20"/>
                <w:szCs w:val="20"/>
                <w:lang w:eastAsia="en-US"/>
              </w:rPr>
              <w:t>3</w:t>
            </w:r>
          </w:p>
        </w:tc>
        <w:tc>
          <w:tcPr>
            <w:tcW w:w="15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126AE2" w:rsidRPr="00844D72" w:rsidRDefault="00844D72" w:rsidP="00A655CB">
            <w:pPr>
              <w:spacing w:line="276" w:lineRule="auto"/>
              <w:ind w:left="206"/>
              <w:jc w:val="center"/>
              <w:rPr>
                <w:spacing w:val="-6"/>
                <w:sz w:val="20"/>
                <w:szCs w:val="20"/>
                <w:lang w:eastAsia="en-US"/>
              </w:rPr>
            </w:pPr>
            <w:r w:rsidRPr="00844D72">
              <w:rPr>
                <w:spacing w:val="-6"/>
                <w:sz w:val="20"/>
                <w:szCs w:val="20"/>
                <w:lang w:eastAsia="en-US"/>
              </w:rPr>
              <w:t>допустить к участию в аукционе и признать участником аукциона</w:t>
            </w: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126AE2" w:rsidRPr="00844D72" w:rsidRDefault="00126AE2" w:rsidP="00A655CB">
            <w:pPr>
              <w:spacing w:line="276" w:lineRule="auto"/>
              <w:ind w:left="-426"/>
              <w:jc w:val="both"/>
              <w:rPr>
                <w:noProof/>
                <w:color w:val="C00000"/>
                <w:sz w:val="20"/>
                <w:szCs w:val="20"/>
              </w:rPr>
            </w:pPr>
          </w:p>
        </w:tc>
      </w:tr>
      <w:tr w:rsidR="00844D72" w:rsidTr="00A655CB">
        <w:trPr>
          <w:trHeight w:val="112"/>
        </w:trPr>
        <w:tc>
          <w:tcPr>
            <w:tcW w:w="70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44D72" w:rsidRPr="00844D72" w:rsidRDefault="00844D72" w:rsidP="00A655CB">
            <w:pPr>
              <w:spacing w:line="276" w:lineRule="auto"/>
              <w:jc w:val="center"/>
              <w:rPr>
                <w:sz w:val="20"/>
                <w:szCs w:val="20"/>
                <w:lang w:eastAsia="en-US"/>
              </w:rPr>
            </w:pPr>
            <w:r w:rsidRPr="00844D72">
              <w:rPr>
                <w:sz w:val="20"/>
                <w:szCs w:val="20"/>
                <w:lang w:eastAsia="en-US"/>
              </w:rPr>
              <w:t>4</w:t>
            </w:r>
          </w:p>
        </w:tc>
        <w:tc>
          <w:tcPr>
            <w:tcW w:w="159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844D72" w:rsidRPr="00844D72" w:rsidRDefault="00844D72" w:rsidP="00A655CB">
            <w:pPr>
              <w:ind w:left="64"/>
              <w:jc w:val="center"/>
              <w:rPr>
                <w:spacing w:val="-6"/>
                <w:sz w:val="20"/>
                <w:szCs w:val="20"/>
              </w:rPr>
            </w:pPr>
            <w:r w:rsidRPr="00844D72">
              <w:rPr>
                <w:spacing w:val="-6"/>
                <w:sz w:val="20"/>
                <w:szCs w:val="20"/>
              </w:rPr>
              <w:t>отказать в допуске к участию в аукционе</w:t>
            </w:r>
          </w:p>
          <w:p w:rsidR="00844D72" w:rsidRPr="00844D72" w:rsidRDefault="00844D72" w:rsidP="00A655CB">
            <w:pPr>
              <w:ind w:left="-426"/>
              <w:jc w:val="center"/>
              <w:rPr>
                <w:spacing w:val="-6"/>
                <w:sz w:val="20"/>
                <w:szCs w:val="20"/>
              </w:rPr>
            </w:pPr>
          </w:p>
        </w:tc>
        <w:tc>
          <w:tcPr>
            <w:tcW w:w="270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844D72" w:rsidRPr="00844D72" w:rsidRDefault="00844D72" w:rsidP="00A655CB">
            <w:pPr>
              <w:ind w:left="125"/>
              <w:jc w:val="both"/>
              <w:rPr>
                <w:noProof/>
                <w:sz w:val="20"/>
                <w:szCs w:val="20"/>
              </w:rPr>
            </w:pPr>
            <w:r w:rsidRPr="00844D72">
              <w:rPr>
                <w:noProof/>
                <w:sz w:val="20"/>
                <w:szCs w:val="20"/>
              </w:rPr>
              <w:t>На основании  подпункта 1 части 4 статьи 67 Федерального закона от 05.04.2013 № 44-ФЗ за непредоставление информации, предусмотренной частью 3 статьи 66 Федерального закона от 05.04.2013 №44-ФЗ,  а именно</w:t>
            </w:r>
            <w:r w:rsidR="00A655CB">
              <w:rPr>
                <w:noProof/>
                <w:sz w:val="20"/>
                <w:szCs w:val="20"/>
              </w:rPr>
              <w:t>:</w:t>
            </w:r>
            <w:r w:rsidRPr="00844D72">
              <w:rPr>
                <w:noProof/>
                <w:sz w:val="20"/>
                <w:szCs w:val="20"/>
              </w:rPr>
              <w:t xml:space="preserve"> отсутствует информация о наименовании </w:t>
            </w:r>
            <w:r w:rsidR="00A655CB">
              <w:rPr>
                <w:noProof/>
                <w:sz w:val="20"/>
                <w:szCs w:val="20"/>
              </w:rPr>
              <w:t>страны</w:t>
            </w:r>
            <w:r w:rsidRPr="00844D72">
              <w:rPr>
                <w:noProof/>
                <w:sz w:val="20"/>
                <w:szCs w:val="20"/>
              </w:rPr>
              <w:t xml:space="preserve"> происхождения товара.</w:t>
            </w:r>
          </w:p>
          <w:p w:rsidR="00844D72" w:rsidRPr="00844D72" w:rsidRDefault="00844D72" w:rsidP="00A655CB">
            <w:pPr>
              <w:ind w:left="125"/>
              <w:jc w:val="both"/>
              <w:rPr>
                <w:noProof/>
                <w:sz w:val="20"/>
                <w:szCs w:val="20"/>
              </w:rPr>
            </w:pPr>
            <w:r w:rsidRPr="00844D72">
              <w:rPr>
                <w:noProof/>
                <w:sz w:val="20"/>
                <w:szCs w:val="20"/>
              </w:rPr>
              <w:t>Положения документации об аукционе в электронной форме, которым не соответствует заявка на участие в аукционе: п.23 Части I . Сведения о проводимом аукционе в электронной форме.</w:t>
            </w:r>
          </w:p>
          <w:p w:rsidR="00844D72" w:rsidRPr="00844D72" w:rsidRDefault="00844D72" w:rsidP="00A655CB">
            <w:pPr>
              <w:ind w:left="125"/>
              <w:jc w:val="both"/>
              <w:rPr>
                <w:spacing w:val="-6"/>
                <w:sz w:val="20"/>
                <w:szCs w:val="20"/>
              </w:rPr>
            </w:pPr>
            <w:r w:rsidRPr="00844D72">
              <w:rPr>
                <w:noProof/>
                <w:sz w:val="20"/>
                <w:szCs w:val="20"/>
              </w:rPr>
              <w:lastRenderedPageBreak/>
              <w:t>Положения заявки на участие в аукционе, которые не соответствуют требованиям документации об аукционе: Первая часть заявки на участие в аукционе.</w:t>
            </w:r>
          </w:p>
        </w:tc>
      </w:tr>
    </w:tbl>
    <w:p w:rsidR="00BF237E" w:rsidRDefault="00BF237E" w:rsidP="00BF237E">
      <w:pPr>
        <w:tabs>
          <w:tab w:val="left" w:pos="426"/>
          <w:tab w:val="left" w:pos="567"/>
        </w:tabs>
        <w:jc w:val="both"/>
      </w:pPr>
    </w:p>
    <w:p w:rsidR="00BF237E" w:rsidRDefault="00BF237E" w:rsidP="00BF237E">
      <w:pPr>
        <w:pStyle w:val="a6"/>
        <w:tabs>
          <w:tab w:val="num" w:pos="142"/>
        </w:tabs>
        <w:autoSpaceDE w:val="0"/>
        <w:autoSpaceDN w:val="0"/>
        <w:adjustRightInd w:val="0"/>
        <w:spacing w:after="0" w:line="240" w:lineRule="auto"/>
        <w:ind w:left="0"/>
        <w:jc w:val="both"/>
        <w:rPr>
          <w:rFonts w:ascii="Times New Roman" w:hAnsi="Times New Roman"/>
          <w:sz w:val="24"/>
          <w:szCs w:val="24"/>
        </w:rPr>
      </w:pPr>
      <w:r>
        <w:rPr>
          <w:rFonts w:ascii="Times New Roman" w:hAnsi="Times New Roman"/>
          <w:sz w:val="24"/>
          <w:szCs w:val="24"/>
        </w:rPr>
        <w:t xml:space="preserve">6. Настоящий протокол подлежит размещению на сайте оператора электронной площадки   </w:t>
      </w:r>
      <w:hyperlink r:id="rId7" w:history="1">
        <w:r>
          <w:rPr>
            <w:rStyle w:val="a3"/>
            <w:rFonts w:ascii="Times New Roman" w:hAnsi="Times New Roman"/>
            <w:color w:val="auto"/>
            <w:u w:val="none"/>
          </w:rPr>
          <w:t>http://www.sberbank-ast.ru</w:t>
        </w:r>
      </w:hyperlink>
      <w:r>
        <w:rPr>
          <w:rFonts w:ascii="Times New Roman" w:hAnsi="Times New Roman"/>
          <w:sz w:val="24"/>
          <w:szCs w:val="24"/>
        </w:rPr>
        <w:t>.</w:t>
      </w:r>
    </w:p>
    <w:p w:rsidR="00BF237E" w:rsidRDefault="00BF237E" w:rsidP="00BF237E">
      <w:pPr>
        <w:jc w:val="both"/>
        <w:rPr>
          <w:spacing w:val="-6"/>
        </w:rPr>
      </w:pPr>
    </w:p>
    <w:p w:rsidR="00BF237E" w:rsidRDefault="00BF237E" w:rsidP="00BF237E">
      <w:pPr>
        <w:jc w:val="center"/>
        <w:rPr>
          <w:noProof/>
        </w:rPr>
      </w:pPr>
      <w:r>
        <w:rPr>
          <w:noProof/>
        </w:rPr>
        <w:t>Сведения о решении</w:t>
      </w:r>
    </w:p>
    <w:p w:rsidR="00BF237E" w:rsidRDefault="00BF237E" w:rsidP="00BF237E">
      <w:pPr>
        <w:jc w:val="center"/>
        <w:rPr>
          <w:noProof/>
        </w:rPr>
      </w:pPr>
      <w:r>
        <w:rPr>
          <w:noProof/>
        </w:rPr>
        <w:t xml:space="preserve">членов комиссии о соответствии участника аукциона и поданной им заявки требованиям Федерального закона </w:t>
      </w:r>
      <w:r>
        <w:rPr>
          <w:spacing w:val="-6"/>
        </w:rPr>
        <w:t xml:space="preserve">05.04.2013 № 44-ФЗ «О контрактной системе в сфере закупок товаров, работ, услуг для обеспечения государственных и муниципальных нужд» </w:t>
      </w:r>
      <w:r>
        <w:rPr>
          <w:noProof/>
        </w:rPr>
        <w:t xml:space="preserve">и документации об аукционе </w:t>
      </w:r>
    </w:p>
    <w:p w:rsidR="00BF237E" w:rsidRDefault="00BF237E" w:rsidP="00BF237E">
      <w:pPr>
        <w:jc w:val="center"/>
        <w:rPr>
          <w:noProof/>
        </w:rPr>
      </w:pPr>
    </w:p>
    <w:tbl>
      <w:tblPr>
        <w:tblW w:w="10141" w:type="dxa"/>
        <w:tblInd w:w="-252" w:type="dxa"/>
        <w:tblLayout w:type="fixed"/>
        <w:tblLook w:val="01E0" w:firstRow="1" w:lastRow="1" w:firstColumn="1" w:lastColumn="1" w:noHBand="0" w:noVBand="0"/>
      </w:tblPr>
      <w:tblGrid>
        <w:gridCol w:w="6176"/>
        <w:gridCol w:w="1839"/>
        <w:gridCol w:w="2126"/>
      </w:tblGrid>
      <w:tr w:rsidR="00BF237E" w:rsidTr="00BF237E">
        <w:tc>
          <w:tcPr>
            <w:tcW w:w="617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Решение члена комиссии</w:t>
            </w:r>
          </w:p>
        </w:tc>
        <w:tc>
          <w:tcPr>
            <w:tcW w:w="1839"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Подпись члена комиссии</w:t>
            </w: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rPr>
            </w:pPr>
            <w:r>
              <w:rPr>
                <w:noProof/>
              </w:rPr>
              <w:t>Состав комиссии</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after="60" w:line="276" w:lineRule="auto"/>
              <w:jc w:val="center"/>
              <w:rPr>
                <w:noProof/>
                <w:lang w:eastAsia="en-US"/>
              </w:rPr>
            </w:pPr>
            <w:r>
              <w:rPr>
                <w:noProof/>
                <w:lang w:eastAsia="en-US"/>
              </w:rPr>
              <w:t>С.Д. Голин</w:t>
            </w:r>
          </w:p>
        </w:tc>
      </w:tr>
      <w:tr w:rsidR="00BF237E" w:rsidTr="00BF237E">
        <w:tc>
          <w:tcPr>
            <w:tcW w:w="6176" w:type="dxa"/>
            <w:tcBorders>
              <w:top w:val="single" w:sz="4" w:space="0" w:color="auto"/>
              <w:left w:val="single" w:sz="4" w:space="0" w:color="auto"/>
              <w:bottom w:val="single" w:sz="4" w:space="0" w:color="auto"/>
              <w:right w:val="single" w:sz="4" w:space="0" w:color="auto"/>
            </w:tcBorders>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tcPr>
          <w:p w:rsidR="00BF237E" w:rsidRDefault="00444467" w:rsidP="00390805">
            <w:pPr>
              <w:widowControl w:val="0"/>
              <w:spacing w:after="60" w:line="276" w:lineRule="auto"/>
              <w:jc w:val="center"/>
              <w:rPr>
                <w:noProof/>
                <w:lang w:eastAsia="en-US"/>
              </w:rPr>
            </w:pPr>
            <w:r>
              <w:rPr>
                <w:noProof/>
                <w:lang w:eastAsia="en-US"/>
              </w:rPr>
              <w:t xml:space="preserve">В.К. </w:t>
            </w:r>
            <w:r w:rsidR="00BF237E">
              <w:rPr>
                <w:noProof/>
                <w:lang w:eastAsia="en-US"/>
              </w:rPr>
              <w:t>Бандурин</w:t>
            </w:r>
          </w:p>
        </w:tc>
      </w:tr>
      <w:tr w:rsidR="00BF237E" w:rsidTr="00BF237E">
        <w:trPr>
          <w:trHeight w:val="777"/>
        </w:trPr>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line="276" w:lineRule="auto"/>
              <w:jc w:val="center"/>
              <w:rPr>
                <w:lang w:eastAsia="en-US"/>
              </w:rPr>
            </w:pPr>
            <w:r>
              <w:rPr>
                <w:lang w:eastAsia="en-US"/>
              </w:rPr>
              <w:t>В.А. Климин</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line="276" w:lineRule="auto"/>
              <w:jc w:val="center"/>
              <w:rPr>
                <w:lang w:eastAsia="en-US"/>
              </w:rPr>
            </w:pPr>
            <w:r>
              <w:rPr>
                <w:lang w:eastAsia="en-US"/>
              </w:rPr>
              <w:t>Н.А. Морозова</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line="276" w:lineRule="auto"/>
              <w:jc w:val="center"/>
              <w:rPr>
                <w:lang w:eastAsia="en-US"/>
              </w:rPr>
            </w:pPr>
            <w:r>
              <w:rPr>
                <w:lang w:eastAsia="en-US"/>
              </w:rPr>
              <w:t>Т.И. Долгодворова</w:t>
            </w:r>
          </w:p>
        </w:tc>
      </w:tr>
      <w:tr w:rsidR="00BF237E" w:rsidTr="00BF237E">
        <w:tc>
          <w:tcPr>
            <w:tcW w:w="6176" w:type="dxa"/>
            <w:tcBorders>
              <w:top w:val="single" w:sz="4" w:space="0" w:color="auto"/>
              <w:left w:val="single" w:sz="4" w:space="0" w:color="auto"/>
              <w:bottom w:val="single" w:sz="4" w:space="0" w:color="auto"/>
              <w:right w:val="single" w:sz="4" w:space="0" w:color="auto"/>
            </w:tcBorders>
            <w:hideMark/>
          </w:tcPr>
          <w:p w:rsidR="00BF237E" w:rsidRDefault="00BF237E" w:rsidP="00390805">
            <w:pPr>
              <w:widowControl w:val="0"/>
              <w:spacing w:line="276" w:lineRule="auto"/>
              <w:jc w:val="both"/>
              <w:rPr>
                <w:noProof/>
                <w:sz w:val="16"/>
                <w:szCs w:val="16"/>
              </w:rPr>
            </w:pPr>
            <w:r>
              <w:rPr>
                <w:noProof/>
                <w:sz w:val="16"/>
                <w:szCs w:val="16"/>
              </w:rPr>
              <w:t>Мое решение о соответствии участника аукциона и поданной им заявки требованиям Федерального закона 05.04.2013 № 44-ФЗ «О контрактной системе в сфере закупок товаров, работ, услуг для обеспечения государственных и муниципальных нужд» и документации об аукционе,  совпадает с решением, указанным в пункте 6 настоящего протокола</w:t>
            </w:r>
          </w:p>
        </w:tc>
        <w:tc>
          <w:tcPr>
            <w:tcW w:w="1839" w:type="dxa"/>
            <w:tcBorders>
              <w:top w:val="single" w:sz="4" w:space="0" w:color="auto"/>
              <w:left w:val="single" w:sz="4" w:space="0" w:color="auto"/>
              <w:bottom w:val="single" w:sz="4" w:space="0" w:color="auto"/>
              <w:right w:val="single" w:sz="4" w:space="0" w:color="auto"/>
            </w:tcBorders>
            <w:vAlign w:val="center"/>
          </w:tcPr>
          <w:p w:rsidR="00BF237E" w:rsidRDefault="00BF237E" w:rsidP="00390805">
            <w:pPr>
              <w:widowControl w:val="0"/>
              <w:spacing w:after="60" w:line="276" w:lineRule="auto"/>
              <w:jc w:val="center"/>
              <w:rPr>
                <w:noProof/>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BF237E" w:rsidRDefault="00BF237E" w:rsidP="00390805">
            <w:pPr>
              <w:widowControl w:val="0"/>
              <w:spacing w:line="276" w:lineRule="auto"/>
              <w:jc w:val="center"/>
              <w:rPr>
                <w:lang w:eastAsia="en-US"/>
              </w:rPr>
            </w:pPr>
            <w:r>
              <w:rPr>
                <w:lang w:eastAsia="en-US"/>
              </w:rPr>
              <w:t>А.Т. Абдуллаев</w:t>
            </w:r>
          </w:p>
        </w:tc>
      </w:tr>
    </w:tbl>
    <w:p w:rsidR="00BF237E" w:rsidRDefault="00BF237E" w:rsidP="00BF237E">
      <w:pPr>
        <w:jc w:val="both"/>
        <w:rPr>
          <w:b/>
        </w:rPr>
      </w:pPr>
    </w:p>
    <w:p w:rsidR="00BF237E" w:rsidRDefault="00BF237E" w:rsidP="00BF237E">
      <w:pPr>
        <w:rPr>
          <w:b/>
        </w:rPr>
      </w:pPr>
    </w:p>
    <w:p w:rsidR="00BF237E" w:rsidRDefault="00BF237E" w:rsidP="00844D72">
      <w:pPr>
        <w:jc w:val="both"/>
        <w:rPr>
          <w:b/>
        </w:rPr>
      </w:pPr>
      <w:r>
        <w:rPr>
          <w:b/>
        </w:rPr>
        <w:t>Председатель комиссии:                                                                                С.Д. Голин</w:t>
      </w:r>
    </w:p>
    <w:p w:rsidR="00BF237E" w:rsidRDefault="00BF237E" w:rsidP="00844D72">
      <w:pPr>
        <w:rPr>
          <w:b/>
        </w:rPr>
      </w:pPr>
      <w:r>
        <w:rPr>
          <w:b/>
        </w:rPr>
        <w:t xml:space="preserve">Члены  комиссии                                                                                                                                                     </w:t>
      </w:r>
    </w:p>
    <w:p w:rsidR="00BF237E" w:rsidRDefault="00BF237E" w:rsidP="00BF237E"/>
    <w:p w:rsidR="00BF237E" w:rsidRDefault="00444467" w:rsidP="00BF237E">
      <w:pPr>
        <w:ind w:left="142"/>
        <w:jc w:val="right"/>
      </w:pPr>
      <w:r>
        <w:t xml:space="preserve">____________________В.К. </w:t>
      </w:r>
      <w:r w:rsidR="00BF237E">
        <w:t xml:space="preserve">Бандурин                                                               </w:t>
      </w:r>
    </w:p>
    <w:p w:rsidR="00BF237E" w:rsidRDefault="00BF237E" w:rsidP="00BF237E">
      <w:pPr>
        <w:ind w:left="142"/>
        <w:jc w:val="right"/>
      </w:pPr>
      <w:r>
        <w:t xml:space="preserve"> ____________________Н.А. Морозова</w:t>
      </w:r>
    </w:p>
    <w:p w:rsidR="00BF237E" w:rsidRDefault="00BF237E" w:rsidP="00BF237E">
      <w:pPr>
        <w:ind w:left="142"/>
        <w:jc w:val="right"/>
      </w:pPr>
      <w:r>
        <w:t>_______________________В.А. Климин</w:t>
      </w:r>
    </w:p>
    <w:p w:rsidR="00BF237E" w:rsidRDefault="00BF237E" w:rsidP="00BF237E">
      <w:pPr>
        <w:ind w:left="142"/>
        <w:jc w:val="center"/>
      </w:pPr>
      <w:r>
        <w:t xml:space="preserve">                                                                                         ________________Т.И. Долгодворова</w:t>
      </w:r>
    </w:p>
    <w:p w:rsidR="00BF237E" w:rsidRDefault="00BF237E" w:rsidP="00BF237E">
      <w:pPr>
        <w:ind w:left="142"/>
        <w:jc w:val="right"/>
      </w:pPr>
      <w:r>
        <w:tab/>
      </w:r>
      <w:r>
        <w:tab/>
      </w:r>
      <w:r>
        <w:tab/>
      </w:r>
      <w:r>
        <w:tab/>
      </w:r>
      <w:r>
        <w:tab/>
      </w:r>
      <w:r>
        <w:tab/>
      </w:r>
      <w:r>
        <w:tab/>
        <w:t xml:space="preserve">  __________________ А.Т. Абдуллаев </w:t>
      </w:r>
    </w:p>
    <w:p w:rsidR="00BF237E" w:rsidRDefault="00BF237E" w:rsidP="00BF237E"/>
    <w:p w:rsidR="00BF237E" w:rsidRDefault="00BF237E" w:rsidP="00BF237E">
      <w:r>
        <w:t xml:space="preserve"> </w:t>
      </w:r>
    </w:p>
    <w:p w:rsidR="00126AE2" w:rsidRDefault="00BF237E">
      <w:r>
        <w:t>Представитель заказчика:                                                  ________________</w:t>
      </w:r>
      <w:r w:rsidR="00DF3E9C">
        <w:t>В.Ю. Овечкин</w:t>
      </w:r>
    </w:p>
    <w:p w:rsidR="00844D72" w:rsidRDefault="00844D72" w:rsidP="00126AE2">
      <w:pPr>
        <w:jc w:val="right"/>
        <w:rPr>
          <w:bCs/>
          <w:sz w:val="16"/>
          <w:szCs w:val="16"/>
        </w:rPr>
      </w:pPr>
    </w:p>
    <w:p w:rsidR="00A655CB" w:rsidRDefault="00A655CB" w:rsidP="00126AE2">
      <w:pPr>
        <w:jc w:val="right"/>
        <w:rPr>
          <w:bCs/>
          <w:sz w:val="16"/>
          <w:szCs w:val="16"/>
        </w:rPr>
      </w:pPr>
    </w:p>
    <w:p w:rsidR="00A655CB" w:rsidRDefault="00A655CB" w:rsidP="00126AE2">
      <w:pPr>
        <w:jc w:val="right"/>
        <w:rPr>
          <w:bCs/>
          <w:sz w:val="16"/>
          <w:szCs w:val="16"/>
        </w:rPr>
      </w:pPr>
    </w:p>
    <w:p w:rsidR="00A655CB" w:rsidRDefault="00A655CB" w:rsidP="00126AE2">
      <w:pPr>
        <w:jc w:val="right"/>
        <w:rPr>
          <w:bCs/>
          <w:sz w:val="16"/>
          <w:szCs w:val="16"/>
        </w:rPr>
      </w:pPr>
    </w:p>
    <w:p w:rsidR="00A655CB" w:rsidRDefault="00A655CB" w:rsidP="00126AE2">
      <w:pPr>
        <w:jc w:val="right"/>
        <w:rPr>
          <w:bCs/>
          <w:sz w:val="16"/>
          <w:szCs w:val="16"/>
        </w:rPr>
      </w:pPr>
    </w:p>
    <w:p w:rsidR="00A655CB" w:rsidRDefault="00A655CB" w:rsidP="00126AE2">
      <w:pPr>
        <w:jc w:val="right"/>
        <w:rPr>
          <w:bCs/>
          <w:sz w:val="16"/>
          <w:szCs w:val="16"/>
        </w:rPr>
      </w:pPr>
    </w:p>
    <w:p w:rsidR="00126AE2" w:rsidRPr="00126AE2" w:rsidRDefault="00126AE2" w:rsidP="00126AE2">
      <w:pPr>
        <w:jc w:val="right"/>
        <w:rPr>
          <w:bCs/>
          <w:sz w:val="16"/>
          <w:szCs w:val="16"/>
        </w:rPr>
      </w:pPr>
      <w:r w:rsidRPr="00126AE2">
        <w:rPr>
          <w:bCs/>
          <w:sz w:val="16"/>
          <w:szCs w:val="16"/>
        </w:rPr>
        <w:lastRenderedPageBreak/>
        <w:t xml:space="preserve">Приложение </w:t>
      </w:r>
    </w:p>
    <w:p w:rsidR="00126AE2" w:rsidRPr="00126AE2" w:rsidRDefault="00126AE2" w:rsidP="00126AE2">
      <w:pPr>
        <w:jc w:val="right"/>
        <w:rPr>
          <w:bCs/>
          <w:sz w:val="16"/>
          <w:szCs w:val="16"/>
        </w:rPr>
      </w:pPr>
      <w:r w:rsidRPr="00126AE2">
        <w:rPr>
          <w:bCs/>
          <w:sz w:val="16"/>
          <w:szCs w:val="16"/>
        </w:rPr>
        <w:t xml:space="preserve">                                                                                                                               к протоколу  рассмотрения заявок</w:t>
      </w:r>
    </w:p>
    <w:p w:rsidR="00126AE2" w:rsidRPr="00126AE2" w:rsidRDefault="00126AE2" w:rsidP="00126AE2">
      <w:pPr>
        <w:jc w:val="right"/>
        <w:rPr>
          <w:bCs/>
          <w:sz w:val="16"/>
          <w:szCs w:val="16"/>
        </w:rPr>
      </w:pPr>
      <w:r w:rsidRPr="00126AE2">
        <w:rPr>
          <w:bCs/>
          <w:sz w:val="16"/>
          <w:szCs w:val="16"/>
        </w:rPr>
        <w:t>аукциона в электронной форме</w:t>
      </w:r>
    </w:p>
    <w:p w:rsidR="00126AE2" w:rsidRPr="00126AE2" w:rsidRDefault="00126AE2" w:rsidP="00126AE2">
      <w:pPr>
        <w:jc w:val="right"/>
        <w:rPr>
          <w:bCs/>
          <w:sz w:val="16"/>
          <w:szCs w:val="16"/>
        </w:rPr>
      </w:pPr>
      <w:r w:rsidRPr="00126AE2">
        <w:rPr>
          <w:bCs/>
          <w:sz w:val="16"/>
          <w:szCs w:val="16"/>
        </w:rPr>
        <w:t>от 11 ию</w:t>
      </w:r>
      <w:r w:rsidR="00DF2967">
        <w:rPr>
          <w:bCs/>
          <w:sz w:val="16"/>
          <w:szCs w:val="16"/>
        </w:rPr>
        <w:t>л</w:t>
      </w:r>
      <w:bookmarkStart w:id="0" w:name="_GoBack"/>
      <w:bookmarkEnd w:id="0"/>
      <w:r w:rsidRPr="00126AE2">
        <w:rPr>
          <w:bCs/>
          <w:sz w:val="16"/>
          <w:szCs w:val="16"/>
        </w:rPr>
        <w:t xml:space="preserve">я 2017 г. № </w:t>
      </w:r>
      <w:r w:rsidRPr="00126AE2">
        <w:rPr>
          <w:sz w:val="16"/>
          <w:szCs w:val="16"/>
        </w:rPr>
        <w:t>0187300005817000197</w:t>
      </w:r>
      <w:r w:rsidRPr="00126AE2">
        <w:rPr>
          <w:b/>
          <w:bCs/>
          <w:sz w:val="16"/>
          <w:szCs w:val="16"/>
        </w:rPr>
        <w:t xml:space="preserve"> </w:t>
      </w:r>
      <w:r w:rsidRPr="00126AE2">
        <w:rPr>
          <w:bCs/>
          <w:sz w:val="16"/>
          <w:szCs w:val="16"/>
        </w:rPr>
        <w:t xml:space="preserve"> -1</w:t>
      </w:r>
    </w:p>
    <w:p w:rsidR="00126AE2" w:rsidRPr="00126AE2" w:rsidRDefault="00126AE2" w:rsidP="00126AE2">
      <w:pPr>
        <w:jc w:val="right"/>
        <w:rPr>
          <w:b/>
          <w:bCs/>
          <w:sz w:val="16"/>
          <w:szCs w:val="16"/>
        </w:rPr>
      </w:pPr>
    </w:p>
    <w:p w:rsidR="00126AE2" w:rsidRPr="00126AE2" w:rsidRDefault="00126AE2" w:rsidP="00126AE2">
      <w:pPr>
        <w:jc w:val="center"/>
        <w:rPr>
          <w:b/>
          <w:bCs/>
          <w:sz w:val="16"/>
          <w:szCs w:val="16"/>
        </w:rPr>
      </w:pPr>
      <w:r w:rsidRPr="00126AE2">
        <w:rPr>
          <w:b/>
          <w:bCs/>
          <w:sz w:val="16"/>
          <w:szCs w:val="16"/>
        </w:rPr>
        <w:t>Таблица рассмотрения заявок</w:t>
      </w:r>
    </w:p>
    <w:p w:rsidR="00126AE2" w:rsidRPr="00126AE2" w:rsidRDefault="00844D72" w:rsidP="00126AE2">
      <w:pPr>
        <w:jc w:val="center"/>
        <w:rPr>
          <w:b/>
          <w:bCs/>
          <w:sz w:val="16"/>
          <w:szCs w:val="16"/>
        </w:rPr>
      </w:pPr>
      <w:proofErr w:type="gramStart"/>
      <w:r>
        <w:rPr>
          <w:b/>
          <w:bCs/>
          <w:sz w:val="16"/>
          <w:szCs w:val="16"/>
        </w:rPr>
        <w:t xml:space="preserve">на участие в </w:t>
      </w:r>
      <w:r w:rsidR="00126AE2" w:rsidRPr="00126AE2">
        <w:rPr>
          <w:b/>
          <w:bCs/>
          <w:sz w:val="16"/>
          <w:szCs w:val="16"/>
        </w:rPr>
        <w:t>аукцион</w:t>
      </w:r>
      <w:r>
        <w:rPr>
          <w:b/>
          <w:bCs/>
          <w:sz w:val="16"/>
          <w:szCs w:val="16"/>
        </w:rPr>
        <w:t>е</w:t>
      </w:r>
      <w:r w:rsidR="00126AE2" w:rsidRPr="00126AE2">
        <w:rPr>
          <w:b/>
          <w:bCs/>
          <w:sz w:val="16"/>
          <w:szCs w:val="16"/>
        </w:rPr>
        <w:t xml:space="preserve"> в электронной форме на право заключения муниципального контракта на поставку</w:t>
      </w:r>
      <w:proofErr w:type="gramEnd"/>
      <w:r w:rsidR="00126AE2" w:rsidRPr="00126AE2">
        <w:rPr>
          <w:b/>
          <w:bCs/>
          <w:sz w:val="16"/>
          <w:szCs w:val="16"/>
        </w:rPr>
        <w:t xml:space="preserve"> автомобиля</w:t>
      </w:r>
    </w:p>
    <w:p w:rsidR="00126AE2" w:rsidRPr="00126AE2" w:rsidRDefault="00126AE2" w:rsidP="00126AE2">
      <w:pPr>
        <w:rPr>
          <w:b/>
          <w:sz w:val="16"/>
          <w:szCs w:val="16"/>
        </w:rPr>
      </w:pPr>
    </w:p>
    <w:p w:rsidR="00126AE2" w:rsidRDefault="00126AE2" w:rsidP="00844D72">
      <w:pPr>
        <w:ind w:left="-709"/>
        <w:rPr>
          <w:sz w:val="16"/>
          <w:szCs w:val="16"/>
        </w:rPr>
      </w:pPr>
      <w:r w:rsidRPr="00126AE2">
        <w:rPr>
          <w:sz w:val="16"/>
          <w:szCs w:val="16"/>
        </w:rPr>
        <w:t>Заказчик: Муниципальное казенное учреждение «Служба обеспечения органов местного самоуправления».</w:t>
      </w:r>
    </w:p>
    <w:p w:rsidR="00844D72" w:rsidRPr="00126AE2" w:rsidRDefault="00844D72" w:rsidP="00126AE2">
      <w:pPr>
        <w:rPr>
          <w:sz w:val="16"/>
          <w:szCs w:val="16"/>
        </w:rPr>
      </w:pPr>
    </w:p>
    <w:tbl>
      <w:tblPr>
        <w:tblW w:w="10633" w:type="dxa"/>
        <w:tblInd w:w="-74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1560"/>
        <w:gridCol w:w="425"/>
        <w:gridCol w:w="3686"/>
        <w:gridCol w:w="567"/>
        <w:gridCol w:w="567"/>
        <w:gridCol w:w="850"/>
        <w:gridCol w:w="851"/>
        <w:gridCol w:w="850"/>
        <w:gridCol w:w="1277"/>
      </w:tblGrid>
      <w:tr w:rsidR="00126AE2" w:rsidRPr="00126AE2" w:rsidTr="00844D72">
        <w:tc>
          <w:tcPr>
            <w:tcW w:w="1560" w:type="dxa"/>
            <w:vMerge w:val="restart"/>
            <w:tcBorders>
              <w:top w:val="single" w:sz="8" w:space="0" w:color="auto"/>
              <w:left w:val="single" w:sz="8" w:space="0" w:color="auto"/>
              <w:right w:val="single" w:sz="8" w:space="0" w:color="auto"/>
            </w:tcBorders>
            <w:vAlign w:val="center"/>
            <w:hideMark/>
          </w:tcPr>
          <w:p w:rsidR="00126AE2" w:rsidRPr="00126AE2" w:rsidRDefault="00126AE2" w:rsidP="002134EE">
            <w:pPr>
              <w:rPr>
                <w:sz w:val="16"/>
                <w:szCs w:val="16"/>
              </w:rPr>
            </w:pPr>
            <w:r w:rsidRPr="00126AE2">
              <w:rPr>
                <w:sz w:val="16"/>
                <w:szCs w:val="16"/>
              </w:rPr>
              <w:t>Первая часть заявки на участие в электронном аукционе должна содержать следующие сведения:</w:t>
            </w:r>
          </w:p>
          <w:p w:rsidR="00126AE2" w:rsidRPr="00126AE2" w:rsidRDefault="00126AE2" w:rsidP="002134EE">
            <w:pPr>
              <w:rPr>
                <w:sz w:val="16"/>
                <w:szCs w:val="16"/>
              </w:rPr>
            </w:pPr>
            <w:proofErr w:type="gramStart"/>
            <w:r w:rsidRPr="00126AE2">
              <w:rPr>
                <w:sz w:val="16"/>
                <w:szCs w:val="16"/>
              </w:rPr>
              <w:t xml:space="preserve">конкретные показатели, соответствующие значениям, установленным части II «ТЕХНИЧЕСКОЕ ЗАДАНИЕ» документации о таком аукционе, и указание на 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proofErr w:type="gramEnd"/>
          </w:p>
        </w:tc>
        <w:tc>
          <w:tcPr>
            <w:tcW w:w="425" w:type="dxa"/>
            <w:vMerge w:val="restart"/>
            <w:tcBorders>
              <w:top w:val="single" w:sz="8" w:space="0" w:color="auto"/>
              <w:left w:val="single" w:sz="8" w:space="0" w:color="auto"/>
              <w:bottom w:val="single" w:sz="8" w:space="0" w:color="auto"/>
              <w:right w:val="single" w:sz="8" w:space="0" w:color="auto"/>
            </w:tcBorders>
            <w:hideMark/>
          </w:tcPr>
          <w:p w:rsidR="00844D72" w:rsidRDefault="00126AE2" w:rsidP="002134EE">
            <w:pPr>
              <w:ind w:left="-108" w:right="-108"/>
              <w:jc w:val="center"/>
              <w:rPr>
                <w:sz w:val="16"/>
                <w:szCs w:val="16"/>
              </w:rPr>
            </w:pPr>
            <w:r w:rsidRPr="00126AE2">
              <w:rPr>
                <w:sz w:val="16"/>
                <w:szCs w:val="16"/>
              </w:rPr>
              <w:t xml:space="preserve">№ </w:t>
            </w:r>
          </w:p>
          <w:p w:rsidR="00126AE2" w:rsidRPr="00126AE2" w:rsidRDefault="00126AE2" w:rsidP="002134EE">
            <w:pPr>
              <w:ind w:left="-108" w:right="-108"/>
              <w:jc w:val="center"/>
              <w:rPr>
                <w:sz w:val="16"/>
                <w:szCs w:val="16"/>
              </w:rPr>
            </w:pPr>
            <w:proofErr w:type="gramStart"/>
            <w:r w:rsidRPr="00126AE2">
              <w:rPr>
                <w:sz w:val="16"/>
                <w:szCs w:val="16"/>
              </w:rPr>
              <w:t>п</w:t>
            </w:r>
            <w:proofErr w:type="gramEnd"/>
            <w:r w:rsidRPr="00126AE2">
              <w:rPr>
                <w:sz w:val="16"/>
                <w:szCs w:val="16"/>
              </w:rPr>
              <w:t>/п</w:t>
            </w:r>
          </w:p>
        </w:tc>
        <w:tc>
          <w:tcPr>
            <w:tcW w:w="3686" w:type="dxa"/>
            <w:vMerge w:val="restart"/>
            <w:tcBorders>
              <w:top w:val="single" w:sz="8" w:space="0" w:color="auto"/>
              <w:left w:val="single" w:sz="8" w:space="0" w:color="auto"/>
              <w:bottom w:val="single" w:sz="8" w:space="0" w:color="auto"/>
              <w:right w:val="single" w:sz="8" w:space="0" w:color="auto"/>
            </w:tcBorders>
            <w:vAlign w:val="center"/>
            <w:hideMark/>
          </w:tcPr>
          <w:p w:rsidR="00126AE2" w:rsidRPr="00126AE2" w:rsidRDefault="00126AE2" w:rsidP="002134EE">
            <w:pPr>
              <w:rPr>
                <w:sz w:val="16"/>
                <w:szCs w:val="16"/>
              </w:rPr>
            </w:pPr>
            <w:r w:rsidRPr="00126AE2">
              <w:rPr>
                <w:sz w:val="16"/>
                <w:szCs w:val="16"/>
              </w:rPr>
              <w:t>Характеристика</w:t>
            </w:r>
          </w:p>
        </w:tc>
        <w:tc>
          <w:tcPr>
            <w:tcW w:w="567" w:type="dxa"/>
            <w:vMerge w:val="restart"/>
            <w:tcBorders>
              <w:top w:val="single" w:sz="8" w:space="0" w:color="auto"/>
              <w:left w:val="single" w:sz="8" w:space="0" w:color="auto"/>
              <w:bottom w:val="single" w:sz="8" w:space="0" w:color="auto"/>
              <w:right w:val="single" w:sz="8" w:space="0" w:color="auto"/>
            </w:tcBorders>
            <w:hideMark/>
          </w:tcPr>
          <w:p w:rsidR="00844D72" w:rsidRDefault="00844D72" w:rsidP="002134EE">
            <w:pPr>
              <w:ind w:left="-108" w:right="-108"/>
              <w:jc w:val="center"/>
              <w:rPr>
                <w:sz w:val="16"/>
                <w:szCs w:val="16"/>
              </w:rPr>
            </w:pPr>
          </w:p>
          <w:p w:rsidR="00126AE2" w:rsidRPr="00126AE2" w:rsidRDefault="00126AE2" w:rsidP="002134EE">
            <w:pPr>
              <w:ind w:left="-108" w:right="-108"/>
              <w:jc w:val="center"/>
              <w:rPr>
                <w:sz w:val="16"/>
                <w:szCs w:val="16"/>
              </w:rPr>
            </w:pPr>
            <w:r w:rsidRPr="00126AE2">
              <w:rPr>
                <w:sz w:val="16"/>
                <w:szCs w:val="16"/>
              </w:rPr>
              <w:t>Ед. изм.</w:t>
            </w:r>
          </w:p>
        </w:tc>
        <w:tc>
          <w:tcPr>
            <w:tcW w:w="567" w:type="dxa"/>
            <w:vMerge w:val="restart"/>
            <w:tcBorders>
              <w:top w:val="single" w:sz="8" w:space="0" w:color="auto"/>
              <w:left w:val="single" w:sz="8" w:space="0" w:color="auto"/>
              <w:bottom w:val="single" w:sz="8" w:space="0" w:color="auto"/>
              <w:right w:val="single" w:sz="8" w:space="0" w:color="auto"/>
            </w:tcBorders>
            <w:vAlign w:val="center"/>
            <w:hideMark/>
          </w:tcPr>
          <w:p w:rsidR="00844D72" w:rsidRDefault="00844D72" w:rsidP="002134EE">
            <w:pPr>
              <w:ind w:left="-108" w:right="-108"/>
              <w:jc w:val="center"/>
              <w:rPr>
                <w:sz w:val="16"/>
                <w:szCs w:val="16"/>
              </w:rPr>
            </w:pPr>
          </w:p>
          <w:p w:rsidR="00844D72" w:rsidRDefault="00126AE2" w:rsidP="002134EE">
            <w:pPr>
              <w:ind w:left="-108" w:right="-108"/>
              <w:jc w:val="center"/>
              <w:rPr>
                <w:sz w:val="16"/>
                <w:szCs w:val="16"/>
              </w:rPr>
            </w:pPr>
            <w:r w:rsidRPr="00126AE2">
              <w:rPr>
                <w:sz w:val="16"/>
                <w:szCs w:val="16"/>
              </w:rPr>
              <w:t>Кол-</w:t>
            </w:r>
          </w:p>
          <w:p w:rsidR="00126AE2" w:rsidRPr="00126AE2" w:rsidRDefault="00126AE2" w:rsidP="002134EE">
            <w:pPr>
              <w:ind w:left="-108" w:right="-108"/>
              <w:jc w:val="center"/>
              <w:rPr>
                <w:sz w:val="16"/>
                <w:szCs w:val="16"/>
              </w:rPr>
            </w:pPr>
            <w:r w:rsidRPr="00126AE2">
              <w:rPr>
                <w:sz w:val="16"/>
                <w:szCs w:val="16"/>
              </w:rPr>
              <w:t>во</w:t>
            </w:r>
          </w:p>
        </w:tc>
        <w:tc>
          <w:tcPr>
            <w:tcW w:w="3828" w:type="dxa"/>
            <w:gridSpan w:val="4"/>
            <w:tcBorders>
              <w:top w:val="single" w:sz="8" w:space="0" w:color="auto"/>
              <w:left w:val="single" w:sz="8" w:space="0" w:color="auto"/>
              <w:bottom w:val="single" w:sz="8" w:space="0" w:color="auto"/>
              <w:right w:val="single" w:sz="8" w:space="0" w:color="auto"/>
            </w:tcBorders>
            <w:vAlign w:val="center"/>
            <w:hideMark/>
          </w:tcPr>
          <w:p w:rsidR="00126AE2" w:rsidRPr="00126AE2" w:rsidRDefault="00126AE2" w:rsidP="002134EE">
            <w:pPr>
              <w:jc w:val="center"/>
              <w:rPr>
                <w:sz w:val="16"/>
                <w:szCs w:val="16"/>
              </w:rPr>
            </w:pPr>
            <w:r w:rsidRPr="00126AE2">
              <w:rPr>
                <w:sz w:val="16"/>
                <w:szCs w:val="16"/>
              </w:rPr>
              <w:t>Номер заявки</w:t>
            </w:r>
          </w:p>
        </w:tc>
      </w:tr>
      <w:tr w:rsidR="00126AE2" w:rsidRPr="00126AE2" w:rsidTr="00844D72">
        <w:tc>
          <w:tcPr>
            <w:tcW w:w="1560" w:type="dxa"/>
            <w:vMerge/>
            <w:tcBorders>
              <w:left w:val="single" w:sz="8" w:space="0" w:color="auto"/>
              <w:right w:val="single" w:sz="8" w:space="0" w:color="auto"/>
            </w:tcBorders>
            <w:vAlign w:val="center"/>
            <w:hideMark/>
          </w:tcPr>
          <w:p w:rsidR="00126AE2" w:rsidRPr="00126AE2" w:rsidRDefault="00126AE2" w:rsidP="002134EE">
            <w:pPr>
              <w:rPr>
                <w:sz w:val="16"/>
                <w:szCs w:val="16"/>
              </w:rPr>
            </w:pPr>
          </w:p>
        </w:tc>
        <w:tc>
          <w:tcPr>
            <w:tcW w:w="425" w:type="dxa"/>
            <w:vMerge/>
            <w:tcBorders>
              <w:top w:val="single" w:sz="8" w:space="0" w:color="auto"/>
              <w:left w:val="single" w:sz="8" w:space="0" w:color="auto"/>
              <w:bottom w:val="single" w:sz="8" w:space="0" w:color="auto"/>
              <w:right w:val="single" w:sz="8" w:space="0" w:color="auto"/>
            </w:tcBorders>
            <w:vAlign w:val="center"/>
            <w:hideMark/>
          </w:tcPr>
          <w:p w:rsidR="00126AE2" w:rsidRPr="00126AE2" w:rsidRDefault="00126AE2" w:rsidP="002134EE">
            <w:pPr>
              <w:rPr>
                <w:sz w:val="16"/>
                <w:szCs w:val="16"/>
              </w:rPr>
            </w:pPr>
          </w:p>
        </w:tc>
        <w:tc>
          <w:tcPr>
            <w:tcW w:w="3686" w:type="dxa"/>
            <w:vMerge/>
            <w:tcBorders>
              <w:top w:val="single" w:sz="8" w:space="0" w:color="auto"/>
              <w:left w:val="single" w:sz="8" w:space="0" w:color="auto"/>
              <w:bottom w:val="single" w:sz="8" w:space="0" w:color="auto"/>
              <w:right w:val="single" w:sz="8" w:space="0" w:color="auto"/>
            </w:tcBorders>
            <w:vAlign w:val="center"/>
            <w:hideMark/>
          </w:tcPr>
          <w:p w:rsidR="00126AE2" w:rsidRPr="00126AE2" w:rsidRDefault="00126AE2" w:rsidP="002134EE">
            <w:pPr>
              <w:rPr>
                <w:sz w:val="16"/>
                <w:szCs w:val="16"/>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26AE2" w:rsidRPr="00126AE2" w:rsidRDefault="00126AE2" w:rsidP="002134EE">
            <w:pPr>
              <w:rPr>
                <w:sz w:val="16"/>
                <w:szCs w:val="16"/>
              </w:rPr>
            </w:pPr>
          </w:p>
        </w:tc>
        <w:tc>
          <w:tcPr>
            <w:tcW w:w="567" w:type="dxa"/>
            <w:vMerge/>
            <w:tcBorders>
              <w:top w:val="single" w:sz="8" w:space="0" w:color="auto"/>
              <w:left w:val="single" w:sz="8" w:space="0" w:color="auto"/>
              <w:bottom w:val="single" w:sz="8" w:space="0" w:color="auto"/>
              <w:right w:val="single" w:sz="8" w:space="0" w:color="auto"/>
            </w:tcBorders>
            <w:vAlign w:val="center"/>
            <w:hideMark/>
          </w:tcPr>
          <w:p w:rsidR="00126AE2" w:rsidRPr="00126AE2" w:rsidRDefault="00126AE2" w:rsidP="002134EE">
            <w:pPr>
              <w:rPr>
                <w:sz w:val="16"/>
                <w:szCs w:val="16"/>
              </w:rPr>
            </w:pPr>
          </w:p>
        </w:tc>
        <w:tc>
          <w:tcPr>
            <w:tcW w:w="850" w:type="dxa"/>
            <w:tcBorders>
              <w:top w:val="single" w:sz="8" w:space="0" w:color="auto"/>
              <w:left w:val="single" w:sz="8" w:space="0" w:color="auto"/>
              <w:bottom w:val="single" w:sz="8" w:space="0" w:color="auto"/>
              <w:right w:val="single" w:sz="8" w:space="0" w:color="auto"/>
            </w:tcBorders>
            <w:vAlign w:val="center"/>
            <w:hideMark/>
          </w:tcPr>
          <w:p w:rsidR="00126AE2" w:rsidRPr="00126AE2" w:rsidRDefault="00126AE2" w:rsidP="002134EE">
            <w:pPr>
              <w:jc w:val="center"/>
              <w:rPr>
                <w:sz w:val="16"/>
                <w:szCs w:val="16"/>
              </w:rPr>
            </w:pPr>
            <w:r w:rsidRPr="00126AE2">
              <w:rPr>
                <w:sz w:val="16"/>
                <w:szCs w:val="16"/>
              </w:rPr>
              <w:t>1</w:t>
            </w:r>
          </w:p>
        </w:tc>
        <w:tc>
          <w:tcPr>
            <w:tcW w:w="851" w:type="dxa"/>
            <w:tcBorders>
              <w:top w:val="single" w:sz="8" w:space="0" w:color="auto"/>
              <w:left w:val="single" w:sz="8" w:space="0" w:color="auto"/>
              <w:bottom w:val="single" w:sz="8" w:space="0" w:color="auto"/>
              <w:right w:val="single" w:sz="8" w:space="0" w:color="auto"/>
            </w:tcBorders>
            <w:vAlign w:val="center"/>
          </w:tcPr>
          <w:p w:rsidR="00126AE2" w:rsidRPr="00126AE2" w:rsidRDefault="00126AE2" w:rsidP="002134EE">
            <w:pPr>
              <w:jc w:val="center"/>
              <w:rPr>
                <w:sz w:val="16"/>
                <w:szCs w:val="16"/>
              </w:rPr>
            </w:pPr>
            <w:r w:rsidRPr="00126AE2">
              <w:rPr>
                <w:sz w:val="16"/>
                <w:szCs w:val="16"/>
              </w:rPr>
              <w:t>2</w:t>
            </w:r>
          </w:p>
        </w:tc>
        <w:tc>
          <w:tcPr>
            <w:tcW w:w="850" w:type="dxa"/>
            <w:vAlign w:val="center"/>
          </w:tcPr>
          <w:p w:rsidR="00126AE2" w:rsidRPr="00126AE2" w:rsidRDefault="00126AE2" w:rsidP="002134EE">
            <w:pPr>
              <w:jc w:val="center"/>
              <w:rPr>
                <w:sz w:val="16"/>
                <w:szCs w:val="16"/>
              </w:rPr>
            </w:pPr>
            <w:r w:rsidRPr="00126AE2">
              <w:rPr>
                <w:sz w:val="16"/>
                <w:szCs w:val="16"/>
              </w:rPr>
              <w:t>3</w:t>
            </w:r>
          </w:p>
        </w:tc>
        <w:tc>
          <w:tcPr>
            <w:tcW w:w="1277" w:type="dxa"/>
            <w:vAlign w:val="center"/>
          </w:tcPr>
          <w:p w:rsidR="00126AE2" w:rsidRPr="00126AE2" w:rsidRDefault="00126AE2" w:rsidP="002134EE">
            <w:pPr>
              <w:jc w:val="center"/>
              <w:rPr>
                <w:sz w:val="16"/>
                <w:szCs w:val="16"/>
              </w:rPr>
            </w:pPr>
            <w:r w:rsidRPr="00126AE2">
              <w:rPr>
                <w:sz w:val="16"/>
                <w:szCs w:val="16"/>
              </w:rPr>
              <w:t>4</w:t>
            </w:r>
          </w:p>
        </w:tc>
      </w:tr>
      <w:tr w:rsidR="00126AE2" w:rsidRPr="00126AE2" w:rsidTr="00844D72">
        <w:trPr>
          <w:trHeight w:val="1816"/>
        </w:trPr>
        <w:tc>
          <w:tcPr>
            <w:tcW w:w="1560" w:type="dxa"/>
            <w:vMerge/>
            <w:tcBorders>
              <w:left w:val="single" w:sz="8" w:space="0" w:color="auto"/>
              <w:right w:val="single" w:sz="8" w:space="0" w:color="auto"/>
            </w:tcBorders>
            <w:vAlign w:val="center"/>
            <w:hideMark/>
          </w:tcPr>
          <w:p w:rsidR="00126AE2" w:rsidRPr="00126AE2" w:rsidRDefault="00126AE2" w:rsidP="002134EE">
            <w:pPr>
              <w:rPr>
                <w:sz w:val="16"/>
                <w:szCs w:val="16"/>
              </w:rPr>
            </w:pPr>
          </w:p>
        </w:tc>
        <w:tc>
          <w:tcPr>
            <w:tcW w:w="425" w:type="dxa"/>
            <w:tcBorders>
              <w:top w:val="single" w:sz="8" w:space="0" w:color="auto"/>
              <w:left w:val="single" w:sz="8" w:space="0" w:color="auto"/>
              <w:right w:val="single" w:sz="8" w:space="0" w:color="auto"/>
            </w:tcBorders>
            <w:vAlign w:val="center"/>
            <w:hideMark/>
          </w:tcPr>
          <w:p w:rsidR="00126AE2" w:rsidRPr="00126AE2" w:rsidRDefault="00126AE2" w:rsidP="002134EE">
            <w:pPr>
              <w:rPr>
                <w:sz w:val="16"/>
                <w:szCs w:val="16"/>
              </w:rPr>
            </w:pPr>
            <w:r w:rsidRPr="00126AE2">
              <w:rPr>
                <w:sz w:val="16"/>
                <w:szCs w:val="16"/>
              </w:rPr>
              <w:t>1</w:t>
            </w:r>
          </w:p>
        </w:tc>
        <w:tc>
          <w:tcPr>
            <w:tcW w:w="3686" w:type="dxa"/>
            <w:tcBorders>
              <w:top w:val="single" w:sz="8" w:space="0" w:color="auto"/>
              <w:left w:val="single" w:sz="8" w:space="0" w:color="auto"/>
              <w:right w:val="single" w:sz="8" w:space="0" w:color="auto"/>
            </w:tcBorders>
          </w:tcPr>
          <w:p w:rsidR="00126AE2" w:rsidRPr="00126AE2" w:rsidRDefault="00126AE2" w:rsidP="002134EE">
            <w:pPr>
              <w:rPr>
                <w:sz w:val="16"/>
                <w:szCs w:val="16"/>
              </w:rPr>
            </w:pPr>
            <w:r w:rsidRPr="00126AE2">
              <w:rPr>
                <w:sz w:val="16"/>
                <w:szCs w:val="16"/>
              </w:rPr>
              <w:t>Поставка автомобиля.</w:t>
            </w:r>
          </w:p>
          <w:p w:rsidR="00126AE2" w:rsidRPr="00126AE2" w:rsidRDefault="00126AE2" w:rsidP="002134EE">
            <w:pPr>
              <w:rPr>
                <w:sz w:val="16"/>
                <w:szCs w:val="16"/>
              </w:rPr>
            </w:pPr>
            <w:r w:rsidRPr="00126AE2">
              <w:rPr>
                <w:sz w:val="16"/>
                <w:szCs w:val="16"/>
              </w:rPr>
              <w:t>Автомобиль легковой</w:t>
            </w:r>
          </w:p>
          <w:p w:rsidR="00126AE2" w:rsidRPr="00126AE2" w:rsidRDefault="00126AE2" w:rsidP="002134EE">
            <w:pPr>
              <w:rPr>
                <w:sz w:val="16"/>
                <w:szCs w:val="16"/>
              </w:rPr>
            </w:pPr>
            <w:r w:rsidRPr="00126AE2">
              <w:rPr>
                <w:sz w:val="16"/>
                <w:szCs w:val="16"/>
              </w:rPr>
              <w:t>Количество автомобилей, шт.1</w:t>
            </w:r>
          </w:p>
          <w:p w:rsidR="00126AE2" w:rsidRPr="00126AE2" w:rsidRDefault="00126AE2" w:rsidP="002134EE">
            <w:pPr>
              <w:rPr>
                <w:sz w:val="16"/>
                <w:szCs w:val="16"/>
              </w:rPr>
            </w:pPr>
            <w:r w:rsidRPr="00126AE2">
              <w:rPr>
                <w:sz w:val="16"/>
                <w:szCs w:val="16"/>
              </w:rPr>
              <w:t>Количество мес</w:t>
            </w:r>
            <w:proofErr w:type="gramStart"/>
            <w:r w:rsidRPr="00126AE2">
              <w:rPr>
                <w:sz w:val="16"/>
                <w:szCs w:val="16"/>
              </w:rPr>
              <w:t>т-</w:t>
            </w:r>
            <w:proofErr w:type="gramEnd"/>
            <w:r w:rsidRPr="00126AE2">
              <w:rPr>
                <w:sz w:val="16"/>
                <w:szCs w:val="16"/>
              </w:rPr>
              <w:t xml:space="preserve"> не менее 5; Тип кузова-седан;</w:t>
            </w:r>
          </w:p>
          <w:p w:rsidR="00126AE2" w:rsidRPr="00126AE2" w:rsidRDefault="00126AE2" w:rsidP="002134EE">
            <w:pPr>
              <w:rPr>
                <w:sz w:val="16"/>
                <w:szCs w:val="16"/>
              </w:rPr>
            </w:pPr>
            <w:r w:rsidRPr="00126AE2">
              <w:rPr>
                <w:sz w:val="16"/>
                <w:szCs w:val="16"/>
              </w:rPr>
              <w:t xml:space="preserve">Минимальный дорожный просвет, </w:t>
            </w:r>
            <w:proofErr w:type="gramStart"/>
            <w:r w:rsidRPr="00126AE2">
              <w:rPr>
                <w:sz w:val="16"/>
                <w:szCs w:val="16"/>
              </w:rPr>
              <w:t>мм</w:t>
            </w:r>
            <w:proofErr w:type="gramEnd"/>
            <w:r w:rsidRPr="00126AE2">
              <w:rPr>
                <w:sz w:val="16"/>
                <w:szCs w:val="16"/>
              </w:rPr>
              <w:t xml:space="preserve"> не менее 160;</w:t>
            </w:r>
          </w:p>
          <w:p w:rsidR="00126AE2" w:rsidRPr="00126AE2" w:rsidRDefault="00126AE2" w:rsidP="002134EE">
            <w:pPr>
              <w:rPr>
                <w:sz w:val="16"/>
                <w:szCs w:val="16"/>
              </w:rPr>
            </w:pPr>
            <w:r w:rsidRPr="00126AE2">
              <w:rPr>
                <w:sz w:val="16"/>
                <w:szCs w:val="16"/>
              </w:rPr>
              <w:t>Двигатель - бензиновый, 16-ти клапанный;</w:t>
            </w:r>
          </w:p>
          <w:p w:rsidR="00126AE2" w:rsidRPr="00126AE2" w:rsidRDefault="00126AE2" w:rsidP="002134EE">
            <w:pPr>
              <w:rPr>
                <w:sz w:val="16"/>
                <w:szCs w:val="16"/>
              </w:rPr>
            </w:pPr>
            <w:r w:rsidRPr="00126AE2">
              <w:rPr>
                <w:sz w:val="16"/>
                <w:szCs w:val="16"/>
              </w:rPr>
              <w:t>Объем двигателя,  куб. см не менее 2400;</w:t>
            </w:r>
          </w:p>
          <w:p w:rsidR="00126AE2" w:rsidRPr="00126AE2" w:rsidRDefault="00126AE2" w:rsidP="002134EE">
            <w:pPr>
              <w:rPr>
                <w:sz w:val="16"/>
                <w:szCs w:val="16"/>
              </w:rPr>
            </w:pPr>
            <w:r w:rsidRPr="00126AE2">
              <w:rPr>
                <w:sz w:val="16"/>
                <w:szCs w:val="16"/>
              </w:rPr>
              <w:t>Количество и расположение цилиндров -</w:t>
            </w:r>
            <w:r w:rsidRPr="00126AE2">
              <w:rPr>
                <w:sz w:val="16"/>
                <w:szCs w:val="16"/>
              </w:rPr>
              <w:tab/>
              <w:t>4, рядное;</w:t>
            </w:r>
          </w:p>
          <w:p w:rsidR="00126AE2" w:rsidRPr="00126AE2" w:rsidRDefault="00126AE2" w:rsidP="002134EE">
            <w:pPr>
              <w:rPr>
                <w:sz w:val="16"/>
                <w:szCs w:val="16"/>
              </w:rPr>
            </w:pPr>
            <w:r w:rsidRPr="00126AE2">
              <w:rPr>
                <w:sz w:val="16"/>
                <w:szCs w:val="16"/>
              </w:rPr>
              <w:t>Подвеска Передняя - Независимая, пружинная, со стабилизаторами поперечной устойчивости;</w:t>
            </w:r>
          </w:p>
          <w:p w:rsidR="00126AE2" w:rsidRPr="00126AE2" w:rsidRDefault="00126AE2" w:rsidP="002134EE">
            <w:pPr>
              <w:rPr>
                <w:sz w:val="16"/>
                <w:szCs w:val="16"/>
              </w:rPr>
            </w:pPr>
            <w:proofErr w:type="gramStart"/>
            <w:r w:rsidRPr="00126AE2">
              <w:rPr>
                <w:sz w:val="16"/>
                <w:szCs w:val="16"/>
              </w:rPr>
              <w:t>Задняя</w:t>
            </w:r>
            <w:proofErr w:type="gramEnd"/>
            <w:r w:rsidRPr="00126AE2">
              <w:rPr>
                <w:sz w:val="16"/>
                <w:szCs w:val="16"/>
              </w:rPr>
              <w:t xml:space="preserve"> -</w:t>
            </w:r>
            <w:r w:rsidRPr="00126AE2">
              <w:rPr>
                <w:sz w:val="16"/>
                <w:szCs w:val="16"/>
              </w:rPr>
              <w:tab/>
              <w:t xml:space="preserve">Независимая, пружинная, на продольных и поперечных рычагах, со стабилизаторами поперечной устойчивости; Тормозные механизмы: </w:t>
            </w:r>
          </w:p>
          <w:p w:rsidR="00126AE2" w:rsidRPr="00126AE2" w:rsidRDefault="00126AE2" w:rsidP="002134EE">
            <w:pPr>
              <w:rPr>
                <w:sz w:val="16"/>
                <w:szCs w:val="16"/>
              </w:rPr>
            </w:pPr>
            <w:r w:rsidRPr="00126AE2">
              <w:rPr>
                <w:sz w:val="16"/>
                <w:szCs w:val="16"/>
              </w:rPr>
              <w:t>Передние - Дисковые, вентилируемые;</w:t>
            </w:r>
          </w:p>
          <w:p w:rsidR="00126AE2" w:rsidRPr="00126AE2" w:rsidRDefault="00126AE2" w:rsidP="002134EE">
            <w:pPr>
              <w:rPr>
                <w:sz w:val="16"/>
                <w:szCs w:val="16"/>
              </w:rPr>
            </w:pPr>
            <w:r w:rsidRPr="00126AE2">
              <w:rPr>
                <w:sz w:val="16"/>
                <w:szCs w:val="16"/>
              </w:rPr>
              <w:t>Задние - Дисковые, невентилируемые;</w:t>
            </w:r>
          </w:p>
          <w:p w:rsidR="00126AE2" w:rsidRPr="00126AE2" w:rsidRDefault="00126AE2" w:rsidP="002134EE">
            <w:pPr>
              <w:rPr>
                <w:sz w:val="16"/>
                <w:szCs w:val="16"/>
              </w:rPr>
            </w:pPr>
            <w:r w:rsidRPr="00126AE2">
              <w:rPr>
                <w:sz w:val="16"/>
                <w:szCs w:val="16"/>
              </w:rPr>
              <w:t xml:space="preserve">Трансмиссия - Передний привод, автоматическая 6-ступенчатая; Цвет автомобиля </w:t>
            </w:r>
            <w:proofErr w:type="gramStart"/>
            <w:r w:rsidRPr="00126AE2">
              <w:rPr>
                <w:sz w:val="16"/>
                <w:szCs w:val="16"/>
              </w:rPr>
              <w:t>-Б</w:t>
            </w:r>
            <w:proofErr w:type="gramEnd"/>
            <w:r w:rsidRPr="00126AE2">
              <w:rPr>
                <w:sz w:val="16"/>
                <w:szCs w:val="16"/>
              </w:rPr>
              <w:t xml:space="preserve">елый или черный металлик или серебристый металлик; </w:t>
            </w:r>
          </w:p>
          <w:p w:rsidR="00126AE2" w:rsidRPr="00126AE2" w:rsidRDefault="00126AE2" w:rsidP="002134EE">
            <w:pPr>
              <w:rPr>
                <w:sz w:val="16"/>
                <w:szCs w:val="16"/>
              </w:rPr>
            </w:pPr>
            <w:r w:rsidRPr="00126AE2">
              <w:rPr>
                <w:sz w:val="16"/>
                <w:szCs w:val="16"/>
              </w:rPr>
              <w:t>Год выпуска - Не ранее 2017;</w:t>
            </w:r>
          </w:p>
          <w:p w:rsidR="00126AE2" w:rsidRPr="00126AE2" w:rsidRDefault="00126AE2" w:rsidP="002134EE">
            <w:pPr>
              <w:rPr>
                <w:sz w:val="16"/>
                <w:szCs w:val="16"/>
              </w:rPr>
            </w:pPr>
            <w:r w:rsidRPr="00126AE2">
              <w:rPr>
                <w:sz w:val="16"/>
                <w:szCs w:val="16"/>
              </w:rPr>
              <w:t>Расход топлива:</w:t>
            </w:r>
            <w:r w:rsidRPr="00126AE2">
              <w:rPr>
                <w:sz w:val="16"/>
                <w:szCs w:val="16"/>
              </w:rPr>
              <w:tab/>
              <w:t>Городской цикл</w:t>
            </w:r>
            <w:r w:rsidRPr="00126AE2">
              <w:rPr>
                <w:sz w:val="16"/>
                <w:szCs w:val="16"/>
              </w:rPr>
              <w:tab/>
              <w:t>- Не более 11л/100 км:</w:t>
            </w:r>
          </w:p>
          <w:p w:rsidR="00126AE2" w:rsidRPr="00126AE2" w:rsidRDefault="00126AE2" w:rsidP="002134EE">
            <w:pPr>
              <w:rPr>
                <w:sz w:val="16"/>
                <w:szCs w:val="16"/>
              </w:rPr>
            </w:pPr>
            <w:r w:rsidRPr="00126AE2">
              <w:rPr>
                <w:sz w:val="16"/>
                <w:szCs w:val="16"/>
              </w:rPr>
              <w:t xml:space="preserve">Загородный цикл - Не более 5,9л/100 км; Смешанный цикл - Не более 7,8л/100 км; Пробег </w:t>
            </w:r>
            <w:proofErr w:type="gramStart"/>
            <w:r w:rsidRPr="00126AE2">
              <w:rPr>
                <w:sz w:val="16"/>
                <w:szCs w:val="16"/>
              </w:rPr>
              <w:t>-Б</w:t>
            </w:r>
            <w:proofErr w:type="gramEnd"/>
            <w:r w:rsidRPr="00126AE2">
              <w:rPr>
                <w:sz w:val="16"/>
                <w:szCs w:val="16"/>
              </w:rPr>
              <w:t>ез пробега;</w:t>
            </w:r>
          </w:p>
          <w:p w:rsidR="00126AE2" w:rsidRPr="00126AE2" w:rsidRDefault="00126AE2" w:rsidP="002134EE">
            <w:pPr>
              <w:rPr>
                <w:sz w:val="16"/>
                <w:szCs w:val="16"/>
              </w:rPr>
            </w:pPr>
            <w:r w:rsidRPr="00126AE2">
              <w:rPr>
                <w:sz w:val="16"/>
                <w:szCs w:val="16"/>
              </w:rPr>
              <w:t xml:space="preserve">Обивка сидений – Кожа; </w:t>
            </w:r>
            <w:proofErr w:type="spellStart"/>
            <w:r w:rsidRPr="00126AE2">
              <w:rPr>
                <w:sz w:val="16"/>
                <w:szCs w:val="16"/>
              </w:rPr>
              <w:t>Электрорегулировка</w:t>
            </w:r>
            <w:proofErr w:type="spellEnd"/>
            <w:r w:rsidRPr="00126AE2">
              <w:rPr>
                <w:sz w:val="16"/>
                <w:szCs w:val="16"/>
              </w:rPr>
              <w:t xml:space="preserve"> сиденья водителя и переднего пассажира – наличие;</w:t>
            </w:r>
          </w:p>
          <w:p w:rsidR="00126AE2" w:rsidRPr="00126AE2" w:rsidRDefault="00126AE2" w:rsidP="002134EE">
            <w:pPr>
              <w:rPr>
                <w:sz w:val="16"/>
                <w:szCs w:val="16"/>
              </w:rPr>
            </w:pPr>
            <w:r w:rsidRPr="00126AE2">
              <w:rPr>
                <w:sz w:val="16"/>
                <w:szCs w:val="16"/>
              </w:rPr>
              <w:t>Емкость топливного бака - Не менее 70 л;</w:t>
            </w:r>
          </w:p>
          <w:p w:rsidR="00126AE2" w:rsidRPr="00126AE2" w:rsidRDefault="00126AE2" w:rsidP="002134EE">
            <w:pPr>
              <w:rPr>
                <w:sz w:val="16"/>
                <w:szCs w:val="16"/>
              </w:rPr>
            </w:pPr>
            <w:r w:rsidRPr="00126AE2">
              <w:rPr>
                <w:sz w:val="16"/>
                <w:szCs w:val="16"/>
              </w:rPr>
              <w:t>Полноразмерное запасное колесо - наличие</w:t>
            </w:r>
          </w:p>
          <w:p w:rsidR="00126AE2" w:rsidRPr="00126AE2" w:rsidRDefault="00126AE2" w:rsidP="002134EE">
            <w:pPr>
              <w:rPr>
                <w:sz w:val="16"/>
                <w:szCs w:val="16"/>
              </w:rPr>
            </w:pPr>
            <w:r w:rsidRPr="00126AE2">
              <w:rPr>
                <w:sz w:val="16"/>
                <w:szCs w:val="16"/>
              </w:rPr>
              <w:t>Светодиодные передние противотуманные фары – наличие; Задние противотуманные фары – наличие;</w:t>
            </w:r>
          </w:p>
          <w:p w:rsidR="00126AE2" w:rsidRPr="00126AE2" w:rsidRDefault="00126AE2" w:rsidP="002134EE">
            <w:pPr>
              <w:rPr>
                <w:sz w:val="16"/>
                <w:szCs w:val="16"/>
              </w:rPr>
            </w:pPr>
            <w:proofErr w:type="gramStart"/>
            <w:r w:rsidRPr="00126AE2">
              <w:rPr>
                <w:sz w:val="16"/>
                <w:szCs w:val="16"/>
              </w:rPr>
              <w:t xml:space="preserve">Светодиодные фары ближнего света с </w:t>
            </w:r>
            <w:proofErr w:type="spellStart"/>
            <w:r w:rsidRPr="00126AE2">
              <w:rPr>
                <w:sz w:val="16"/>
                <w:szCs w:val="16"/>
              </w:rPr>
              <w:t>омывателем</w:t>
            </w:r>
            <w:proofErr w:type="spellEnd"/>
            <w:r w:rsidRPr="00126AE2">
              <w:rPr>
                <w:sz w:val="16"/>
                <w:szCs w:val="16"/>
              </w:rPr>
              <w:t xml:space="preserve"> – наличие; Центральный замок с ДУ и сигнализацией – наличие; Мультифункциональное рулевое колесо с кожаной отделкой – наличие; Зеркала заднего вида с обогревом, </w:t>
            </w:r>
            <w:proofErr w:type="spellStart"/>
            <w:r w:rsidRPr="00126AE2">
              <w:rPr>
                <w:sz w:val="16"/>
                <w:szCs w:val="16"/>
              </w:rPr>
              <w:t>электрорегулировкой</w:t>
            </w:r>
            <w:proofErr w:type="spellEnd"/>
            <w:r w:rsidRPr="00126AE2">
              <w:rPr>
                <w:sz w:val="16"/>
                <w:szCs w:val="16"/>
              </w:rPr>
              <w:t>, электроприводом складывания и повторителями указателей поворота – наличие; Датчик дождя, света – наличие; Подогрев сидений первого ряда и задних сидений – наличие; Передние и задние датчики парковки – наличие.</w:t>
            </w:r>
            <w:proofErr w:type="gramEnd"/>
            <w:r w:rsidRPr="00126AE2">
              <w:rPr>
                <w:sz w:val="16"/>
                <w:szCs w:val="16"/>
              </w:rPr>
              <w:t xml:space="preserve"> Круиз-контроль – наличие; Цветной TFT дисплей – наличие;</w:t>
            </w:r>
          </w:p>
          <w:p w:rsidR="00126AE2" w:rsidRPr="00126AE2" w:rsidRDefault="00126AE2" w:rsidP="002134EE">
            <w:pPr>
              <w:rPr>
                <w:sz w:val="16"/>
                <w:szCs w:val="16"/>
              </w:rPr>
            </w:pPr>
            <w:r w:rsidRPr="00126AE2">
              <w:rPr>
                <w:sz w:val="16"/>
                <w:szCs w:val="16"/>
              </w:rPr>
              <w:t xml:space="preserve">Устройство «ЭРА-ГЛОНАСС» - наличие; Комплект ковриков для первого и второго рядов сидений – наличие; 17-дюймовые </w:t>
            </w:r>
            <w:proofErr w:type="spellStart"/>
            <w:r w:rsidRPr="00126AE2">
              <w:rPr>
                <w:sz w:val="16"/>
                <w:szCs w:val="16"/>
              </w:rPr>
              <w:t>легкосплавные</w:t>
            </w:r>
            <w:proofErr w:type="spellEnd"/>
            <w:r w:rsidRPr="00126AE2">
              <w:rPr>
                <w:sz w:val="16"/>
                <w:szCs w:val="16"/>
              </w:rPr>
              <w:t xml:space="preserve"> диски с шинами – наличие.</w:t>
            </w:r>
          </w:p>
        </w:tc>
        <w:tc>
          <w:tcPr>
            <w:tcW w:w="567" w:type="dxa"/>
            <w:tcBorders>
              <w:top w:val="single" w:sz="8" w:space="0" w:color="auto"/>
              <w:left w:val="single" w:sz="8" w:space="0" w:color="auto"/>
              <w:right w:val="single" w:sz="8" w:space="0" w:color="auto"/>
            </w:tcBorders>
            <w:vAlign w:val="center"/>
          </w:tcPr>
          <w:p w:rsidR="00126AE2" w:rsidRPr="00126AE2" w:rsidRDefault="00126AE2" w:rsidP="002134EE">
            <w:pPr>
              <w:rPr>
                <w:sz w:val="16"/>
                <w:szCs w:val="16"/>
              </w:rPr>
            </w:pPr>
            <w:r w:rsidRPr="00126AE2">
              <w:rPr>
                <w:sz w:val="16"/>
                <w:szCs w:val="16"/>
              </w:rPr>
              <w:t>шт.</w:t>
            </w:r>
          </w:p>
        </w:tc>
        <w:tc>
          <w:tcPr>
            <w:tcW w:w="567" w:type="dxa"/>
            <w:tcBorders>
              <w:top w:val="single" w:sz="8" w:space="0" w:color="auto"/>
              <w:left w:val="single" w:sz="8" w:space="0" w:color="auto"/>
              <w:right w:val="single" w:sz="8" w:space="0" w:color="auto"/>
            </w:tcBorders>
            <w:vAlign w:val="center"/>
          </w:tcPr>
          <w:p w:rsidR="00126AE2" w:rsidRPr="00126AE2" w:rsidRDefault="00126AE2" w:rsidP="002134EE">
            <w:pPr>
              <w:jc w:val="center"/>
              <w:rPr>
                <w:sz w:val="16"/>
                <w:szCs w:val="16"/>
              </w:rPr>
            </w:pPr>
            <w:r w:rsidRPr="00126AE2">
              <w:rPr>
                <w:sz w:val="16"/>
                <w:szCs w:val="16"/>
              </w:rPr>
              <w:t>1</w:t>
            </w:r>
          </w:p>
        </w:tc>
        <w:tc>
          <w:tcPr>
            <w:tcW w:w="850" w:type="dxa"/>
            <w:tcBorders>
              <w:top w:val="single" w:sz="8" w:space="0" w:color="auto"/>
              <w:left w:val="single" w:sz="8" w:space="0" w:color="auto"/>
              <w:right w:val="single" w:sz="8" w:space="0" w:color="auto"/>
            </w:tcBorders>
            <w:vAlign w:val="center"/>
          </w:tcPr>
          <w:p w:rsidR="00126AE2" w:rsidRPr="00126AE2" w:rsidRDefault="00126AE2" w:rsidP="002134EE">
            <w:pPr>
              <w:ind w:left="-107" w:right="-108"/>
              <w:jc w:val="center"/>
              <w:rPr>
                <w:sz w:val="16"/>
                <w:szCs w:val="16"/>
              </w:rPr>
            </w:pPr>
            <w:r w:rsidRPr="00126AE2">
              <w:rPr>
                <w:sz w:val="16"/>
                <w:szCs w:val="16"/>
              </w:rPr>
              <w:t>Соответствует</w:t>
            </w:r>
          </w:p>
        </w:tc>
        <w:tc>
          <w:tcPr>
            <w:tcW w:w="851" w:type="dxa"/>
            <w:tcBorders>
              <w:top w:val="single" w:sz="8" w:space="0" w:color="auto"/>
              <w:left w:val="single" w:sz="8" w:space="0" w:color="auto"/>
              <w:right w:val="single" w:sz="8" w:space="0" w:color="auto"/>
            </w:tcBorders>
            <w:vAlign w:val="center"/>
          </w:tcPr>
          <w:p w:rsidR="00126AE2" w:rsidRPr="00126AE2" w:rsidRDefault="00126AE2" w:rsidP="002134EE">
            <w:pPr>
              <w:ind w:left="-108" w:right="-108"/>
              <w:jc w:val="center"/>
              <w:rPr>
                <w:sz w:val="16"/>
                <w:szCs w:val="16"/>
              </w:rPr>
            </w:pPr>
            <w:r w:rsidRPr="00126AE2">
              <w:rPr>
                <w:sz w:val="16"/>
                <w:szCs w:val="16"/>
              </w:rPr>
              <w:t>Соответствует</w:t>
            </w:r>
          </w:p>
        </w:tc>
        <w:tc>
          <w:tcPr>
            <w:tcW w:w="850" w:type="dxa"/>
            <w:vAlign w:val="center"/>
          </w:tcPr>
          <w:p w:rsidR="00126AE2" w:rsidRPr="00126AE2" w:rsidRDefault="00126AE2" w:rsidP="002134EE">
            <w:pPr>
              <w:ind w:left="-108" w:right="-109"/>
              <w:jc w:val="center"/>
              <w:rPr>
                <w:sz w:val="16"/>
                <w:szCs w:val="16"/>
              </w:rPr>
            </w:pPr>
            <w:r w:rsidRPr="00126AE2">
              <w:rPr>
                <w:sz w:val="16"/>
                <w:szCs w:val="16"/>
              </w:rPr>
              <w:t>Соответствует</w:t>
            </w:r>
          </w:p>
        </w:tc>
        <w:tc>
          <w:tcPr>
            <w:tcW w:w="1277" w:type="dxa"/>
            <w:vAlign w:val="center"/>
          </w:tcPr>
          <w:p w:rsidR="00844D72" w:rsidRDefault="00126AE2" w:rsidP="002134EE">
            <w:pPr>
              <w:ind w:left="-108" w:right="-108"/>
              <w:jc w:val="center"/>
              <w:rPr>
                <w:sz w:val="16"/>
                <w:szCs w:val="16"/>
              </w:rPr>
            </w:pPr>
            <w:r w:rsidRPr="00126AE2">
              <w:rPr>
                <w:sz w:val="16"/>
                <w:szCs w:val="16"/>
              </w:rPr>
              <w:t xml:space="preserve">Не </w:t>
            </w:r>
          </w:p>
          <w:p w:rsidR="00126AE2" w:rsidRDefault="00126AE2" w:rsidP="002134EE">
            <w:pPr>
              <w:ind w:left="-108" w:right="-108"/>
              <w:jc w:val="center"/>
              <w:rPr>
                <w:sz w:val="16"/>
                <w:szCs w:val="16"/>
              </w:rPr>
            </w:pPr>
            <w:r w:rsidRPr="00126AE2">
              <w:rPr>
                <w:sz w:val="16"/>
                <w:szCs w:val="16"/>
              </w:rPr>
              <w:t>соответствует</w:t>
            </w:r>
          </w:p>
          <w:p w:rsidR="00844D72" w:rsidRPr="00126AE2" w:rsidRDefault="00844D72" w:rsidP="002134EE">
            <w:pPr>
              <w:ind w:left="-108" w:right="-108"/>
              <w:jc w:val="center"/>
              <w:rPr>
                <w:sz w:val="16"/>
                <w:szCs w:val="16"/>
              </w:rPr>
            </w:pPr>
            <w:r>
              <w:rPr>
                <w:sz w:val="16"/>
                <w:szCs w:val="16"/>
              </w:rPr>
              <w:t>(</w:t>
            </w:r>
            <w:r w:rsidRPr="00126AE2">
              <w:rPr>
                <w:sz w:val="16"/>
                <w:szCs w:val="16"/>
              </w:rPr>
              <w:t>отсутствует наименова</w:t>
            </w:r>
            <w:r>
              <w:rPr>
                <w:sz w:val="16"/>
                <w:szCs w:val="16"/>
              </w:rPr>
              <w:t>ние страны происхождения товара)</w:t>
            </w:r>
          </w:p>
        </w:tc>
      </w:tr>
    </w:tbl>
    <w:p w:rsidR="00126AE2" w:rsidRPr="00126AE2" w:rsidRDefault="00126AE2">
      <w:pPr>
        <w:rPr>
          <w:sz w:val="16"/>
          <w:szCs w:val="16"/>
        </w:rPr>
      </w:pPr>
    </w:p>
    <w:sectPr w:rsidR="00126AE2" w:rsidRPr="00126AE2" w:rsidSect="00A655CB">
      <w:pgSz w:w="11906" w:h="16838"/>
      <w:pgMar w:top="568"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B4311C"/>
    <w:multiLevelType w:val="multilevel"/>
    <w:tmpl w:val="9AF2BFEC"/>
    <w:lvl w:ilvl="0">
      <w:start w:val="1"/>
      <w:numFmt w:val="decimal"/>
      <w:lvlText w:val="%1."/>
      <w:lvlJc w:val="left"/>
      <w:pPr>
        <w:tabs>
          <w:tab w:val="num" w:pos="927"/>
        </w:tabs>
        <w:ind w:left="927" w:hanging="360"/>
      </w:pPr>
      <w:rPr>
        <w:rFonts w:hint="default"/>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rPr>
        <w:rFonts w:hint="default"/>
      </w:rPr>
    </w:lvl>
    <w:lvl w:ilvl="3">
      <w:start w:val="1"/>
      <w:numFmt w:val="decimal"/>
      <w:lvlText w:val="%1.%2.%3.%4."/>
      <w:lvlJc w:val="left"/>
      <w:pPr>
        <w:tabs>
          <w:tab w:val="num" w:pos="2443"/>
        </w:tabs>
        <w:ind w:left="2011" w:hanging="648"/>
      </w:pPr>
      <w:rPr>
        <w:rFonts w:hint="default"/>
      </w:rPr>
    </w:lvl>
    <w:lvl w:ilvl="4">
      <w:start w:val="1"/>
      <w:numFmt w:val="decimal"/>
      <w:lvlText w:val="%1.%2.%3.%4.%5."/>
      <w:lvlJc w:val="left"/>
      <w:pPr>
        <w:tabs>
          <w:tab w:val="num" w:pos="2803"/>
        </w:tabs>
        <w:ind w:left="2515" w:hanging="792"/>
      </w:pPr>
      <w:rPr>
        <w:rFonts w:hint="default"/>
      </w:rPr>
    </w:lvl>
    <w:lvl w:ilvl="5">
      <w:start w:val="1"/>
      <w:numFmt w:val="decimal"/>
      <w:lvlText w:val="%1.%2.%3.%4.%5.%6."/>
      <w:lvlJc w:val="left"/>
      <w:pPr>
        <w:tabs>
          <w:tab w:val="num" w:pos="3523"/>
        </w:tabs>
        <w:ind w:left="3019" w:hanging="936"/>
      </w:pPr>
      <w:rPr>
        <w:rFonts w:hint="default"/>
      </w:rPr>
    </w:lvl>
    <w:lvl w:ilvl="6">
      <w:start w:val="1"/>
      <w:numFmt w:val="decimal"/>
      <w:lvlText w:val="%1.%2.%3.%4.%5.%6.%7."/>
      <w:lvlJc w:val="left"/>
      <w:pPr>
        <w:tabs>
          <w:tab w:val="num" w:pos="4243"/>
        </w:tabs>
        <w:ind w:left="3523" w:hanging="1080"/>
      </w:pPr>
      <w:rPr>
        <w:rFonts w:hint="default"/>
      </w:rPr>
    </w:lvl>
    <w:lvl w:ilvl="7">
      <w:start w:val="1"/>
      <w:numFmt w:val="decimal"/>
      <w:lvlText w:val="%1.%2.%3.%4.%5.%6.%7.%8."/>
      <w:lvlJc w:val="left"/>
      <w:pPr>
        <w:tabs>
          <w:tab w:val="num" w:pos="4603"/>
        </w:tabs>
        <w:ind w:left="4027" w:hanging="1224"/>
      </w:pPr>
      <w:rPr>
        <w:rFonts w:hint="default"/>
      </w:rPr>
    </w:lvl>
    <w:lvl w:ilvl="8">
      <w:start w:val="1"/>
      <w:numFmt w:val="decimal"/>
      <w:lvlText w:val="%1.%2.%3.%4.%5.%6.%7.%8.%9."/>
      <w:lvlJc w:val="left"/>
      <w:pPr>
        <w:tabs>
          <w:tab w:val="num" w:pos="5323"/>
        </w:tabs>
        <w:ind w:left="4603" w:hanging="144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44C6B"/>
    <w:rsid w:val="00126AE2"/>
    <w:rsid w:val="00444467"/>
    <w:rsid w:val="00444C6B"/>
    <w:rsid w:val="00844D72"/>
    <w:rsid w:val="009A2507"/>
    <w:rsid w:val="00A655CB"/>
    <w:rsid w:val="00BF237E"/>
    <w:rsid w:val="00DF2967"/>
    <w:rsid w:val="00DF3E9C"/>
    <w:rsid w:val="00EC2D0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237E"/>
    <w:pPr>
      <w:suppressAutoHyphens/>
      <w:spacing w:after="0" w:line="240" w:lineRule="auto"/>
    </w:pPr>
    <w:rPr>
      <w:rFonts w:ascii="Times New Roman" w:eastAsia="Times New Roman" w:hAnsi="Times New Roman" w:cs="Times New Roman"/>
      <w:kern w:val="2"/>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BF237E"/>
    <w:rPr>
      <w:color w:val="0000FF"/>
      <w:u w:val="single"/>
    </w:rPr>
  </w:style>
  <w:style w:type="paragraph" w:styleId="a4">
    <w:name w:val="Body Text"/>
    <w:basedOn w:val="a"/>
    <w:link w:val="a5"/>
    <w:uiPriority w:val="99"/>
    <w:unhideWhenUsed/>
    <w:rsid w:val="00BF237E"/>
    <w:pPr>
      <w:spacing w:after="120"/>
    </w:pPr>
    <w:rPr>
      <w:lang w:val="x-none"/>
    </w:rPr>
  </w:style>
  <w:style w:type="character" w:customStyle="1" w:styleId="a5">
    <w:name w:val="Основной текст Знак"/>
    <w:basedOn w:val="a0"/>
    <w:link w:val="a4"/>
    <w:uiPriority w:val="99"/>
    <w:rsid w:val="00BF237E"/>
    <w:rPr>
      <w:rFonts w:ascii="Times New Roman" w:eastAsia="Times New Roman" w:hAnsi="Times New Roman" w:cs="Times New Roman"/>
      <w:kern w:val="2"/>
      <w:sz w:val="24"/>
      <w:szCs w:val="24"/>
      <w:lang w:val="x-none" w:eastAsia="ar-SA"/>
    </w:rPr>
  </w:style>
  <w:style w:type="paragraph" w:styleId="a6">
    <w:name w:val="List Paragraph"/>
    <w:basedOn w:val="a"/>
    <w:uiPriority w:val="34"/>
    <w:qFormat/>
    <w:rsid w:val="00BF237E"/>
    <w:pPr>
      <w:suppressAutoHyphens w:val="0"/>
      <w:spacing w:after="200" w:line="276" w:lineRule="auto"/>
      <w:ind w:left="720"/>
      <w:contextualSpacing/>
    </w:pPr>
    <w:rPr>
      <w:rFonts w:ascii="Calibri" w:hAnsi="Calibri"/>
      <w:kern w:val="0"/>
      <w:sz w:val="22"/>
      <w:szCs w:val="22"/>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TotalTime>
  <Pages>3</Pages>
  <Words>1414</Words>
  <Characters>8066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7</cp:revision>
  <cp:lastPrinted>2017-07-10T14:46:00Z</cp:lastPrinted>
  <dcterms:created xsi:type="dcterms:W3CDTF">2017-07-07T06:51:00Z</dcterms:created>
  <dcterms:modified xsi:type="dcterms:W3CDTF">2017-07-11T10:01:00Z</dcterms:modified>
</cp:coreProperties>
</file>